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6"/>
        <w:gridCol w:w="6544"/>
        <w:tblGridChange w:id="0">
          <w:tblGrid>
            <w:gridCol w:w="1956"/>
            <w:gridCol w:w="6544"/>
          </w:tblGrid>
        </w:tblGridChange>
      </w:tblGrid>
      <w:tr>
        <w:trPr>
          <w:trHeight w:val="8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Sally Yuen</w:t>
            </w:r>
          </w:p>
          <w:p w:rsidR="00000000" w:rsidDel="00000000" w:rsidP="00000000" w:rsidRDefault="00000000" w:rsidRPr="00000000" w14:paraId="00000004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Translator</w:t>
            </w:r>
          </w:p>
          <w:p w:rsidR="00000000" w:rsidDel="00000000" w:rsidP="00000000" w:rsidRDefault="00000000" w:rsidRPr="00000000" w14:paraId="0000000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hyperlink r:id="rId6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sally.sy.yuen@gmail.com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+852-95412488</w:t>
            </w:r>
          </w:p>
        </w:tc>
      </w:tr>
      <w:tr>
        <w:trPr>
          <w:trHeight w:val="98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G/F, 361A Ting Kok Tsuen, Taipo NT, Hong Kong</w:t>
            </w:r>
          </w:p>
        </w:tc>
      </w:tr>
    </w:tbl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4"/>
        <w:gridCol w:w="6"/>
        <w:gridCol w:w="9078"/>
        <w:tblGridChange w:id="0">
          <w:tblGrid>
            <w:gridCol w:w="1904"/>
            <w:gridCol w:w="6"/>
            <w:gridCol w:w="9078"/>
          </w:tblGrid>
        </w:tblGridChange>
      </w:tblGrid>
      <w:t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Summary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4+ years freelance experience (since 201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vertAlign w:val="baseline"/>
                <w:rtl w:val="0"/>
              </w:rPr>
              <w:t xml:space="preserve">) and 1+ year in-house experience (2013 - </w:t>
            </w:r>
            <w:r w:rsidDel="00000000" w:rsidR="00000000" w:rsidRPr="00000000">
              <w:rPr>
                <w:rtl w:val="0"/>
              </w:rPr>
              <w:t xml:space="preserve">2014) </w:t>
            </w:r>
            <w:r w:rsidDel="00000000" w:rsidR="00000000" w:rsidRPr="00000000">
              <w:rPr>
                <w:vertAlign w:val="baseline"/>
                <w:rtl w:val="0"/>
              </w:rPr>
              <w:t xml:space="preserve">as English to Chinese translator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Native Language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Cantonese/Traditional Chinese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Language Pairs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English to Cantonese/Chinese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French to Cantonese/Chinese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Cantonese/Chinese to English</w:t>
            </w:r>
          </w:p>
        </w:tc>
      </w:tr>
    </w:tbl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2"/>
        <w:gridCol w:w="9076"/>
        <w:tblGridChange w:id="0">
          <w:tblGrid>
            <w:gridCol w:w="1912"/>
            <w:gridCol w:w="9076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Education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Bachelor of Arts in Linguistics, The Chinese University of Hong Kong (</w:t>
            </w:r>
            <w:r w:rsidDel="00000000" w:rsidR="00000000" w:rsidRPr="00000000">
              <w:rPr>
                <w:rtl w:val="0"/>
              </w:rPr>
              <w:t xml:space="preserve">Graduated in 2013)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4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9497"/>
        <w:tblGridChange w:id="0">
          <w:tblGrid>
            <w:gridCol w:w="1951"/>
            <w:gridCol w:w="9497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Significant Projects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u w:val="single"/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English to Traditional Chinese</w:t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Photography articles and product introduction for Canon</w:t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Website content for Nikon</w:t>
            </w:r>
          </w:p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Travel information for a well-known international travel company</w:t>
            </w:r>
          </w:p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Training materials for Body Shop</w:t>
            </w:r>
          </w:p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u w:val="single"/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Traditional Chinese to English</w:t>
            </w:r>
          </w:p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Press releases for Citi Taiwan</w:t>
            </w:r>
          </w:p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 information and press release for Delta Asia Group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u w:val="single"/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French to Chinese</w:t>
            </w:r>
          </w:p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Website content for Indosuez Wealth Management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left="1440" w:firstLine="48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Other clients include well-known companies from the below fields:</w:t>
      </w:r>
    </w:p>
    <w:p w:rsidR="00000000" w:rsidDel="00000000" w:rsidP="00000000" w:rsidRDefault="00000000" w:rsidRPr="00000000" w14:paraId="00000035">
      <w:pPr>
        <w:ind w:left="1440" w:firstLine="48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Lifestlye, Arts, Fashion, Beauty and Cosmetics, Jewellery, Properties, Financial, </w:t>
      </w:r>
      <w:r w:rsidDel="00000000" w:rsidR="00000000" w:rsidRPr="00000000">
        <w:rPr>
          <w:rtl w:val="0"/>
        </w:rPr>
        <w:t xml:space="preserve">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Other work experience:</w:t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Special Projects Administrator</w:t>
      </w:r>
      <w:r w:rsidDel="00000000" w:rsidR="00000000" w:rsidRPr="00000000">
        <w:rPr>
          <w:vertAlign w:val="baseline"/>
          <w:rtl w:val="0"/>
        </w:rPr>
        <w:t xml:space="preserve"> (Hong Kong Sinfonietta) (Oct 2018</w:t>
      </w:r>
      <w:r w:rsidDel="00000000" w:rsidR="00000000" w:rsidRPr="00000000">
        <w:rPr>
          <w:rtl w:val="0"/>
        </w:rPr>
        <w:t xml:space="preserve"> - Feb 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Planning and execution of non-standard classical concerts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 in liaison with artist management companies regarding artist engagement matters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Taking care of foreign artist to ensure they can focus on performance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Help with rehearsals and other pre-show preparation</w:t>
      </w:r>
    </w:p>
    <w:p w:rsidR="00000000" w:rsidDel="00000000" w:rsidP="00000000" w:rsidRDefault="00000000" w:rsidRPr="00000000" w14:paraId="0000003F">
      <w:pPr>
        <w:widowControl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Arts Administration Trainee </w:t>
      </w:r>
      <w:r w:rsidDel="00000000" w:rsidR="00000000" w:rsidRPr="00000000">
        <w:rPr>
          <w:vertAlign w:val="baseline"/>
          <w:rtl w:val="0"/>
        </w:rPr>
        <w:t xml:space="preserve">(Class 7A Drama Group) (2</w:t>
      </w:r>
      <w:r w:rsidDel="00000000" w:rsidR="00000000" w:rsidRPr="00000000">
        <w:rPr>
          <w:rtl w:val="0"/>
        </w:rPr>
        <w:t xml:space="preserve">014 - 2015)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2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Assist in organization of performances, such as venue booking, ticketing, etc.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2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Help with rehearsals and other pre-show preparation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Keep financial and event record</w:t>
      </w:r>
    </w:p>
    <w:p w:rsidR="00000000" w:rsidDel="00000000" w:rsidP="00000000" w:rsidRDefault="00000000" w:rsidRPr="00000000" w14:paraId="0000004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70" w:top="170" w:left="567" w:right="567" w:header="8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yuensauyansall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