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mno"/>
        <w:spacing w:lineRule="auto" w:line="276"/>
        <w:rPr/>
      </w:pPr>
      <w:r>
        <w:rPr/>
      </w:r>
      <w:bookmarkStart w:id="0" w:name="xgraphic"/>
      <w:bookmarkStart w:id="1" w:name="xgraphic"/>
      <w:bookmarkEnd w:id="1"/>
    </w:p>
    <w:p>
      <w:pPr>
        <w:pStyle w:val="Jmno"/>
        <w:spacing w:lineRule="auto" w:line="276"/>
        <w:rPr>
          <w:lang w:val="en-IE"/>
        </w:rPr>
      </w:pPr>
      <w:r>
        <w:rPr>
          <w:lang w:val="en-IE"/>
        </w:rPr>
        <w:t xml:space="preserve">              </w:t>
      </w:r>
      <w:r>
        <w:rPr>
          <w:lang w:val="en-IE"/>
        </w:rPr>
        <w:t>C u r r i c u l u m  V i t a e</w:t>
      </w:r>
    </w:p>
    <w:p>
      <w:pPr>
        <w:pStyle w:val="Adresa1"/>
        <w:pBdr/>
        <w:spacing w:lineRule="auto" w:line="276"/>
        <w:rPr>
          <w:lang w:val="en-IE"/>
        </w:rPr>
        <w:framePr w:w="2400" w:h="184" w:x="8065" w:y="1009" w:wrap="through" w:vAnchor="page" w:hAnchor="page" w:hRule="exact"/>
      </w:pPr>
      <w:r>
        <w:rPr>
          <w:lang w:val="en-IE"/>
        </w:rPr>
      </w:r>
    </w:p>
    <w:p>
      <w:pPr>
        <w:pStyle w:val="Adresa2"/>
        <w:pBdr/>
        <w:spacing w:lineRule="auto" w:line="276"/>
        <w:rPr>
          <w:lang w:val="en-IE"/>
        </w:rPr>
        <w:framePr w:w="2405" w:h="387" w:x="5681" w:y="1705" w:wrap="through" w:vAnchor="page" w:hAnchor="page" w:hRule="exact"/>
      </w:pPr>
      <w:r>
        <w:rPr>
          <w:lang w:val="en-IE"/>
        </w:rPr>
      </w:r>
    </w:p>
    <w:p>
      <w:pPr>
        <w:pStyle w:val="Normal"/>
        <w:rPr>
          <w:lang w:val="en-IE"/>
        </w:rPr>
      </w:pPr>
      <w:r>
        <w:rPr>
          <w:lang w:val="en-IE"/>
        </w:rPr>
      </w:r>
    </w:p>
    <w:p>
      <w:pPr>
        <w:pStyle w:val="Normal"/>
        <w:rPr>
          <w:lang w:val="en-IE"/>
        </w:rPr>
      </w:pPr>
      <w:r>
        <w:rPr>
          <w:lang w:val="en-IE"/>
        </w:rPr>
      </w:r>
    </w:p>
    <w:p>
      <w:pPr>
        <w:pStyle w:val="Normal"/>
        <w:rPr>
          <w:lang w:val="en-IE"/>
        </w:rPr>
      </w:pPr>
      <w:r>
        <w:rPr>
          <w:lang w:val="en-IE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90"/>
        <w:gridCol w:w="6879"/>
      </w:tblGrid>
      <w:tr>
        <w:trPr>
          <w:trHeight w:val="80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adpisoddlu"/>
              <w:shd w:val="clear" w:fill="E5E5E5"/>
              <w:spacing w:lineRule="auto" w:line="276" w:before="120" w:after="0"/>
              <w:rPr>
                <w:lang w:val="en-IE"/>
              </w:rPr>
            </w:pPr>
            <w:r>
              <w:rPr>
                <w:lang w:val="en-IE"/>
              </w:rPr>
              <w:t>Date and Place of Birth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Funkce"/>
              <w:spacing w:lineRule="auto" w:line="276" w:before="220" w:after="220"/>
              <w:rPr>
                <w:lang w:val="en-IE"/>
              </w:rPr>
            </w:pPr>
            <w:r>
              <w:rPr>
                <w:lang w:val="en-IE"/>
              </w:rPr>
              <w:t>26/08/1971      MARTIN, SLOVAK REPUBLIC</w:t>
            </w:r>
          </w:p>
        </w:tc>
      </w:tr>
      <w:tr>
        <w:trPr>
          <w:trHeight w:val="7335" w:hRule="atLeast"/>
        </w:trPr>
        <w:tc>
          <w:tcPr>
            <w:tcW w:w="219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adpisoddlu"/>
              <w:shd w:val="clear" w:fill="E5E5E5"/>
              <w:spacing w:lineRule="auto" w:line="276" w:before="120" w:after="0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Nadpisoddlu"/>
              <w:shd w:val="clear" w:fill="E5E5E5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Employment History</w:t>
            </w:r>
          </w:p>
        </w:tc>
        <w:tc>
          <w:tcPr>
            <w:tcW w:w="6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Normal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13/11/2006-31/03/2008        Slovak National Library,  Martin, SR</w:t>
            </w:r>
          </w:p>
          <w:p>
            <w:pPr>
              <w:pStyle w:val="Postaven"/>
              <w:spacing w:lineRule="auto" w:line="276" w:before="0" w:after="0"/>
              <w:rPr>
                <w:rFonts w:cs="Arial"/>
                <w:bCs/>
                <w:spacing w:val="0"/>
                <w:lang w:val="en-IE"/>
              </w:rPr>
            </w:pPr>
            <w:r>
              <w:rPr>
                <w:rFonts w:cs="Arial"/>
                <w:bCs/>
                <w:spacing w:val="0"/>
                <w:lang w:val="en-IE"/>
              </w:rPr>
              <w:t xml:space="preserve">Educated Tour Guide </w:t>
            </w:r>
          </w:p>
          <w:p>
            <w:pPr>
              <w:pStyle w:val="Dosaenvzdln"/>
              <w:spacing w:lineRule="auto" w:line="276"/>
              <w:ind w:right="-357" w:hanging="0"/>
              <w:rPr>
                <w:lang w:val="en-IE"/>
              </w:rPr>
            </w:pPr>
            <w:r>
              <w:rPr>
                <w:lang w:val="en-IE"/>
              </w:rPr>
              <w:t xml:space="preserve">Translations of the literary museum’s special texts, e.g. on Slovak literature history, correspondence, interpreting, guiding in English and Slovak languages, organising cultural events and providing complementary services. </w:t>
            </w:r>
          </w:p>
          <w:p>
            <w:pPr>
              <w:pStyle w:val="Normal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Postaven"/>
              <w:spacing w:lineRule="auto" w:line="276" w:before="0" w:after="0"/>
              <w:rPr>
                <w:rFonts w:cs="Arial"/>
                <w:bCs/>
                <w:spacing w:val="0"/>
                <w:lang w:val="en-IE"/>
              </w:rPr>
            </w:pPr>
            <w:r>
              <w:rPr>
                <w:rFonts w:cs="Arial"/>
                <w:bCs/>
                <w:spacing w:val="0"/>
                <w:lang w:val="en-IE"/>
              </w:rPr>
              <w:t>Self-employed Person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  <w:lang w:val="en-IE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  <w:lang w:val="en-IE"/>
              </w:rPr>
              <w:t>Since 01/10/2001 English-Slovak and Slovak-English freelance translator.</w:t>
            </w:r>
          </w:p>
          <w:p>
            <w:pPr>
              <w:pStyle w:val="Nzevspolenostijedna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02/05/1997-04/07/1997</w:t>
              <w:tab/>
              <w:t>T.M.Zipper spol. s r.o.,  Martin, SR</w:t>
            </w:r>
          </w:p>
          <w:p>
            <w:pPr>
              <w:pStyle w:val="Postaven"/>
              <w:tabs>
                <w:tab w:val="clear" w:pos="408"/>
                <w:tab w:val="right" w:pos="6521" w:leader="none"/>
              </w:tabs>
              <w:spacing w:lineRule="auto" w:line="276"/>
              <w:ind w:right="11" w:hanging="0"/>
              <w:rPr>
                <w:lang w:val="en-IE"/>
              </w:rPr>
            </w:pPr>
            <w:r>
              <w:rPr>
                <w:lang w:val="en-IE"/>
              </w:rPr>
              <w:t>Sales Repesentative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Canvassing customers and handling orders.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Slovak-English interpreting.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Postaven"/>
              <w:spacing w:lineRule="auto" w:line="276" w:before="0" w:after="0"/>
              <w:rPr>
                <w:lang w:val="en-IE"/>
              </w:rPr>
            </w:pPr>
            <w:r>
              <w:rPr>
                <w:rFonts w:cs="Arial"/>
                <w:bCs/>
                <w:spacing w:val="0"/>
                <w:lang w:val="en-IE"/>
              </w:rPr>
              <w:t>Started to translate contractually in</w:t>
            </w:r>
            <w:r>
              <w:rPr>
                <w:lang w:val="en-IE"/>
              </w:rPr>
              <w:t xml:space="preserve"> 1996.</w:t>
            </w:r>
          </w:p>
          <w:p>
            <w:pPr>
              <w:pStyle w:val="Nzevspolenosti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1992-1996</w:t>
              <w:tab/>
              <w:t>MATICA SLOVENSKÁ,  Martin, SR</w:t>
            </w:r>
          </w:p>
          <w:p>
            <w:pPr>
              <w:pStyle w:val="Postave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Book Depository Worker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 xml:space="preserve">Cleaning, cataloguing, and moving historical book collections. </w:t>
            </w:r>
          </w:p>
          <w:p>
            <w:pPr>
              <w:pStyle w:val="Nzevspolenosti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February 1990-May 1990</w:t>
              <w:tab/>
              <w:t>Tlačiarne SNP printing-works,  Martin,  SR</w:t>
            </w:r>
          </w:p>
          <w:p>
            <w:pPr>
              <w:pStyle w:val="Postave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Rotary worker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 xml:space="preserve">1989-1990                           ONV district council,  Martin, SR   </w:t>
            </w:r>
          </w:p>
          <w:p>
            <w:pPr>
              <w:pStyle w:val="Postaven"/>
              <w:spacing w:lineRule="auto" w:line="276" w:before="0" w:after="40"/>
              <w:rPr>
                <w:lang w:val="en-IE"/>
              </w:rPr>
            </w:pPr>
            <w:r>
              <w:rPr>
                <w:lang w:val="en-IE"/>
              </w:rPr>
              <w:t>Clerk</w:t>
            </w:r>
          </w:p>
        </w:tc>
      </w:tr>
      <w:tr>
        <w:trPr>
          <w:trHeight w:val="2610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adpisoddlu"/>
              <w:shd w:val="clear" w:fill="E5E5E5"/>
              <w:spacing w:lineRule="auto" w:line="276" w:before="120" w:after="0"/>
              <w:rPr>
                <w:lang w:val="en-IE"/>
              </w:rPr>
            </w:pPr>
            <w:r>
              <w:rPr>
                <w:lang w:val="en-IE"/>
              </w:rPr>
              <w:t>Education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1977-1985</w:t>
              <w:tab/>
              <w:t xml:space="preserve">                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sk-SK"/>
              </w:rPr>
              <w:t>Elementary School</w:t>
            </w:r>
            <w:r>
              <w:rPr>
                <w:lang w:val="en-IE"/>
              </w:rPr>
              <w:t>, Východná Street,  Martin, SR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 xml:space="preserve">1985-1989                         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 xml:space="preserve"> </w:t>
            </w:r>
            <w:r>
              <w:rPr>
                <w:lang w:val="en-IE"/>
              </w:rPr>
              <w:t>Gymnázium V. Pauliniho-Tótha grammar school,  Martin, SR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 xml:space="preserve">                                                       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 xml:space="preserve">1994-1996                          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Language School at the Commercial Academy (English),  Martin, SR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Dosaenvzdln"/>
              <w:tabs>
                <w:tab w:val="clear" w:pos="408"/>
                <w:tab w:val="left" w:pos="2160" w:leader="none"/>
              </w:tabs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2003</w:t>
              <w:tab/>
            </w:r>
          </w:p>
          <w:p>
            <w:pPr>
              <w:pStyle w:val="Dosaenvzdln"/>
              <w:tabs>
                <w:tab w:val="clear" w:pos="408"/>
                <w:tab w:val="left" w:pos="2160" w:leader="none"/>
              </w:tabs>
              <w:spacing w:lineRule="auto" w:line="276" w:before="0" w:after="120"/>
              <w:rPr>
                <w:lang w:val="en-IE"/>
              </w:rPr>
            </w:pPr>
            <w:r>
              <w:rPr>
                <w:lang w:val="en-IE"/>
              </w:rPr>
              <w:t>Language School at the Commercial Academy (French first half of the 2</w:t>
            </w:r>
            <w:r>
              <w:rPr>
                <w:vertAlign w:val="superscript"/>
                <w:lang w:val="en-IE"/>
              </w:rPr>
              <w:t>nd</w:t>
            </w:r>
            <w:r>
              <w:rPr>
                <w:lang w:val="en-IE"/>
              </w:rPr>
              <w:t xml:space="preserve"> year)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adpisoddlu"/>
              <w:shd w:val="clear" w:fill="E5E5E5"/>
              <w:spacing w:lineRule="auto" w:line="276" w:before="120" w:after="0"/>
              <w:rPr>
                <w:lang w:val="en-IE"/>
              </w:rPr>
            </w:pPr>
            <w:r>
              <w:rPr>
                <w:lang w:val="en-IE"/>
              </w:rPr>
              <w:t>Education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2001-2006</w:t>
              <w:tab/>
              <w:t>Philological Faculty of the Matej Bel University, Banská Bystrica, Slovak Republic</w:t>
            </w:r>
          </w:p>
          <w:p>
            <w:pPr>
              <w:pStyle w:val="Dosaenvzdln"/>
              <w:spacing w:lineRule="auto" w:line="276" w:before="0" w:after="120"/>
              <w:rPr>
                <w:lang w:val="en-IE"/>
              </w:rPr>
            </w:pPr>
            <w:r>
              <w:rPr>
                <w:lang w:val="en-IE"/>
              </w:rPr>
            </w:r>
          </w:p>
        </w:tc>
      </w:tr>
      <w:tr>
        <w:trPr>
          <w:trHeight w:val="2895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adpisoddlu"/>
              <w:shd w:val="clear" w:fill="E5E5E5"/>
              <w:spacing w:lineRule="auto" w:line="276" w:before="120" w:after="0"/>
              <w:rPr>
                <w:lang w:val="en-IE"/>
              </w:rPr>
            </w:pPr>
            <w:r>
              <w:rPr>
                <w:lang w:val="en-IE"/>
              </w:rPr>
              <w:t>Certificates, Exams, Language Skills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Working knowledge of the PC / MS Word, Excel, TRADOS, Open Office, Google documents/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 xml:space="preserve">State Examination from English Language 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Grammar School leaving exams from German and Russian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Tourist Guide’s License</w:t>
            </w:r>
          </w:p>
          <w:p>
            <w:pPr>
              <w:pStyle w:val="Dosaenvzdln"/>
              <w:spacing w:lineRule="auto" w:line="276"/>
              <w:rPr>
                <w:lang w:val="en-IE"/>
              </w:rPr>
            </w:pPr>
            <w:r>
              <w:rPr>
                <w:lang w:val="en-IE"/>
              </w:rPr>
              <w:t>Finished the course of CEPAC Slovakia “I Am Starting My Own Business” with the defence of the business plan</w:t>
            </w:r>
          </w:p>
          <w:p>
            <w:pPr>
              <w:pStyle w:val="Telotextu"/>
              <w:spacing w:lineRule="auto" w:line="276"/>
              <w:ind w:right="176" w:hanging="0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Graduate from Philological Faculty of Matej Bel University in Banská Bystrica, subject: interpreting and translating, specialisation: English language and culture.</w:t>
            </w:r>
          </w:p>
          <w:p>
            <w:pPr>
              <w:pStyle w:val="Telotextu"/>
              <w:spacing w:lineRule="auto" w:line="276" w:before="0" w:after="120"/>
              <w:rPr>
                <w:lang w:val="en-IE"/>
              </w:rPr>
            </w:pPr>
            <w:r>
              <w:rPr>
                <w:lang w:val="en-IE"/>
              </w:rPr>
            </w:r>
          </w:p>
        </w:tc>
      </w:tr>
    </w:tbl>
    <w:p>
      <w:pPr>
        <w:pStyle w:val="Normal"/>
        <w:rPr>
          <w:lang w:val="en-IE"/>
        </w:rPr>
      </w:pPr>
      <w:r>
        <w:rPr>
          <w:lang w:val="en-IE"/>
        </w:rPr>
      </w:r>
    </w:p>
    <w:p>
      <w:pPr>
        <w:pStyle w:val="Normal"/>
        <w:rPr>
          <w:lang w:val="en-IE"/>
        </w:rPr>
      </w:pPr>
      <w:r>
        <w:rPr>
          <w:lang w:val="en-IE"/>
        </w:rPr>
      </w:r>
    </w:p>
    <w:p>
      <w:pPr>
        <w:pStyle w:val="Normal"/>
        <w:rPr>
          <w:lang w:val="en-IE"/>
        </w:rPr>
      </w:pPr>
      <w:r>
        <w:rPr>
          <w:lang w:val="en-IE"/>
        </w:rPr>
      </w:r>
    </w:p>
    <w:p>
      <w:pPr>
        <w:pStyle w:val="Normal"/>
        <w:rPr>
          <w:lang w:val="en-IE"/>
        </w:rPr>
      </w:pPr>
      <w:r>
        <w:rPr>
          <w:lang w:val="en-IE"/>
        </w:rPr>
      </w:r>
    </w:p>
    <w:p>
      <w:pPr>
        <w:pStyle w:val="Normal"/>
        <w:rPr>
          <w:lang w:val="en-IE"/>
        </w:rPr>
      </w:pPr>
      <w:r>
        <w:rPr>
          <w:rStyle w:val="PostavenChar"/>
          <w:rFonts w:eastAsia="Calibri" w:cs="Arial" w:eastAsiaTheme="minorHAnsi"/>
          <w:bCs/>
          <w:lang w:val="en-IE"/>
        </w:rPr>
        <w:t>Main Clients</w:t>
      </w:r>
      <w:r>
        <w:rPr>
          <w:lang w:val="en-IE"/>
        </w:rPr>
        <w:t>: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Vydavateľstvo Matice slovenskej, s. r. o., publishing house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Moravia IT, spol. s r. o.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Slovak National Library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Turiec Gallery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Tvorivec, s. r. o.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HTC Holding, a.s.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Dotyky a spojenia, n. o.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nb-NO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nb-NO"/>
        </w:rPr>
        <w:t>Presse&amp;Marketing Slovakia s.r.o.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Agentúra LEXIS spol. s r. o.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Municipality of Terchová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Agentúra MCP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Wist, spol. s r. o.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nb-NO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nb-NO"/>
        </w:rPr>
        <w:t>ASAP-translation.com, s. r. o.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0"/>
          <w:szCs w:val="20"/>
          <w:lang w:val="nb-NO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nb-NO"/>
        </w:rPr>
        <w:t>Aspena, s.r.o.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nb-NO"/>
        </w:rPr>
        <w:t>Akkurat, s.r.o.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nb-NO"/>
        </w:rPr>
        <w:t>UNM University Hospital of Martin</w:t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</w:r>
    </w:p>
    <w:p>
      <w:pPr>
        <w:pStyle w:val="Normal"/>
        <w:rPr>
          <w:lang w:val="en-IE"/>
        </w:rPr>
      </w:pPr>
      <w:r>
        <w:rPr>
          <w:rStyle w:val="PostavenChar"/>
          <w:rFonts w:eastAsia="Calibri" w:cs="Arial" w:eastAsiaTheme="minorHAnsi"/>
          <w:bCs/>
          <w:lang w:val="en-IE"/>
        </w:rPr>
        <w:t>Translations</w:t>
      </w:r>
      <w:r>
        <w:rPr>
          <w:lang w:val="en-IE"/>
        </w:rPr>
        <w:t>:</w:t>
      </w:r>
    </w:p>
    <w:p>
      <w:pPr>
        <w:pStyle w:val="Nzevspolenostijedna"/>
        <w:spacing w:lineRule="auto" w:line="276"/>
        <w:rPr/>
      </w:pPr>
      <w:r>
        <w:rPr>
          <w:lang w:val="en-IE"/>
        </w:rPr>
        <w:t>Translations of feature films, cartoons, and documentaries from English into Slovak for the dubbing studios ARTEX INVEST, EMA records, RHAPSODY IN.</w:t>
      </w:r>
    </w:p>
    <w:p>
      <w:pPr>
        <w:pStyle w:val="Normal"/>
        <w:rPr>
          <w:lang w:val="en-IE"/>
        </w:rPr>
      </w:pPr>
      <w:r>
        <w:rPr>
          <w:lang w:val="en-IE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Cooperated on the following projects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TV series: Out of the Blue, The Last Frontier.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Cartoon series: Extreme Dinosaurs, The Secret World of Santa Claus.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Documentaries: The Ten Deadliest Snakes in the World, Born to Run, and others.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Feature films: Trial and Error, Dog Boys, High Anxiety.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zevspolenostijedna"/>
        <w:spacing w:lineRule="auto" w:line="276"/>
        <w:rPr>
          <w:rFonts w:ascii="Times New Roman" w:hAnsi="Times New Roman" w:cs="Times New Roman" w:asciiTheme="majorBidi" w:cstheme="majorBidi" w:hAnsiTheme="majorBidi"/>
          <w:lang w:val="en-IE"/>
        </w:rPr>
      </w:pPr>
      <w:r>
        <w:rPr>
          <w:rFonts w:cs="Times New Roman" w:cstheme="majorBidi"/>
          <w:lang w:val="en-IE"/>
        </w:rPr>
        <w:t xml:space="preserve">Translation of the summary in Peter Cabadaj’s monograph “Slovenské pivovarníctvo v toku času” (Slovak Brewing Industry in the Course of Time) from Slovak into English.  </w:t>
      </w:r>
    </w:p>
    <w:p>
      <w:pPr>
        <w:pStyle w:val="Nzevspolenostijedna"/>
        <w:tabs>
          <w:tab w:val="clear" w:pos="6480"/>
          <w:tab w:val="left" w:pos="2160" w:leader="none"/>
        </w:tabs>
        <w:spacing w:lineRule="auto" w:line="276"/>
        <w:rPr>
          <w:rFonts w:ascii="Times New Roman" w:hAnsi="Times New Roman" w:cs="Times New Roman" w:asciiTheme="majorBidi" w:cstheme="majorBidi" w:hAnsiTheme="majorBidi"/>
          <w:lang w:val="en-IE"/>
        </w:rPr>
      </w:pPr>
      <w:r>
        <w:rPr>
          <w:rFonts w:cs="Times New Roman" w:cstheme="majorBidi"/>
          <w:lang w:val="en-IE"/>
        </w:rPr>
        <w:t>Translation of a part of personalities’ biographical profiles for the book “Slovak Biographical Dictionary” (pp. 186-250) from Slovak into English.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Translation of the book “Healthy Foods” from English into Slovak published by Advent-Orion s.r.o., Slovakia.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Translation of a part of a user’s manual to a two-way radio (more than 100 pages), instructions for use from English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(operator manuals for sonography, MR, CT scanning devices, spectrophotometer,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surgical instruments,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package leaflets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,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cars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and trucks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and electronic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equipment,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excavators, drilling rigs,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household appliances, smartphones, cameras, specifications of various types of gas turbines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and so on)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into Slovak, web sites of engineering companies (bearings, armoured off-road vehicles description) into English.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The translated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materials were for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the companies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en-IE"/>
        </w:rPr>
        <w:t xml:space="preserve">GE Healthcare, Volvo, Siemens,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en-IE"/>
        </w:rPr>
        <w:t>Q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en-IE"/>
        </w:rPr>
        <w:t xml:space="preserve">OROS, Panasonic, DAF, CANON, Philips, Honda,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>Huawei, Yamaha, Atlas Copco, ING, W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>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 xml:space="preserve">rth, Motorola, MProve Health, CAT, Husqvarna, Garmin,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>and more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)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.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Collaboration on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localisations of economic and popular software products, help files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, translations of medical software documentation (e.g., Automated Immunoassay System) into Slovak.</w:t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Legal texts, contracts and laws, faxes, e-mails, companies’ web pages, invitation cards,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safety notices,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advertising flyers from and into English.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The translations from the last two paragraphs exceed 1.5 million words.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Translations of the résumés of Slovensko magazine’s articles (since 2003), résumés of monographs  (Národný cintorín v Martine, Paul Gauguin: Drevorezy, drevoryty, Ester Šimerová Martinčeková, Ivan Štubňa, Ľudovít Hološka, Velčice 1232 – 2007, and others) and miscellanies into English.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Translation of the publication “Martin - sprievodca kultúrou mesta” (Guide-Book to Culture of Martin) into English language.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Translation of the 4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vertAlign w:val="superscript"/>
          <w:lang w:val="en-IE"/>
        </w:rPr>
        <w:t>th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Book Art Biennial Martin 2001 exhibition catalogue, the catalogue to the international children’s art competition Biennale of Imagination, Martin, Slovakia, 2002,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and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2008-201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6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Translations of novels for girls (Becky Barker: Renegade Texan, Patricia Hagan: A Touch of Love, and others) from English into Slovak.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Translations of several catalogues and panels used in exhibitions into English (the latest being Lev Nikolayevich Tolstoy in the Collections of Slovak National Library and Martin Kukučín – Writer, Humanist, Globetrotter).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Fonts w:cs="Times New Roman" w:cstheme="majorBidi" w:ascii="Times New Roman" w:hAnsi="Times New Roman"/>
          <w:sz w:val="20"/>
          <w:szCs w:val="20"/>
          <w:lang w:val="en-IE"/>
        </w:rPr>
        <w:t>Translation of a monograph dedicated to the work of a local typographer, translation of a book of verses depicting products of folk art pieces into English.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  <w:lang w:val="en-IE"/>
        </w:rPr>
      </w:pPr>
      <w:r>
        <w:rPr>
          <w:rStyle w:val="PostavenChar"/>
          <w:rFonts w:eastAsia="Calibri" w:cs="Times New Roman" w:ascii="Times New Roman" w:hAnsi="Times New Roman" w:asciiTheme="majorBidi" w:cstheme="majorBidi" w:eastAsiaTheme="minorHAnsi" w:hAnsiTheme="majorBidi"/>
          <w:bCs/>
          <w:lang w:val="en-IE"/>
        </w:rPr>
        <w:t>Interests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 related to translating: </w:t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Contrastive linguistics, interlinguistics, studying languages (mainly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Hungarian, Dutch,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Norwegian, Esperanto, Hebrew, French, Finnish, and Portuguese), open-source software (UBUNTU/KUBUNTU Linux distro), language, cultur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e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geography,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history, literature, 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>politics, railways</w:t>
      </w:r>
      <w:r>
        <w:rPr>
          <w:rFonts w:cs="Times New Roman" w:ascii="Times New Roman" w:hAnsi="Times New Roman" w:asciiTheme="majorBidi" w:cstheme="majorBidi" w:hAnsiTheme="majorBidi"/>
          <w:sz w:val="20"/>
          <w:szCs w:val="20"/>
          <w:lang w:val="en-IE"/>
        </w:rPr>
        <w:t xml:space="preserve">. 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964" w:top="1985" w:footer="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>
        <w:lang w:val="sk-SK"/>
      </w:rPr>
      <w:t xml:space="preserve">                       </w:t>
    </w:r>
    <w:r>
      <w:rPr>
        <w:lang w:val="sk-SK"/>
      </w:rPr>
      <w:t xml:space="preserve">Michal VONGREJ Thurzova 1/10    036  01    MARTIN, </w:t>
    </w:r>
    <w:r>
      <w:rPr>
        <w:lang w:val="sk-SK"/>
      </w:rPr>
      <w:t>Slovak Republic</w:t>
    </w:r>
  </w:p>
</w:hdr>
</file>

<file path=word/settings.xml><?xml version="1.0" encoding="utf-8"?>
<w:settings xmlns:w="http://schemas.openxmlformats.org/wordprocessingml/2006/main">
  <w:zoom w:percent="16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sk-SK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2132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k-SK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qFormat/>
    <w:rsid w:val="00d17db8"/>
    <w:rPr>
      <w:rFonts w:ascii="Times New Roman" w:hAnsi="Times New Roman" w:eastAsia="Times New Roman" w:cs="Times New Roman"/>
      <w:sz w:val="20"/>
      <w:szCs w:val="20"/>
      <w:lang w:val="cs-CZ" w:eastAsia="sk-SK" w:bidi="ar-SA"/>
    </w:rPr>
  </w:style>
  <w:style w:type="character" w:styleId="ZhlavChar" w:customStyle="1">
    <w:name w:val="Záhlaví Char"/>
    <w:basedOn w:val="DefaultParagraphFont"/>
    <w:link w:val="Zhlav"/>
    <w:qFormat/>
    <w:rsid w:val="00d17db8"/>
    <w:rPr>
      <w:rFonts w:ascii="Times New Roman" w:hAnsi="Times New Roman" w:eastAsia="Times New Roman" w:cs="Times New Roman"/>
      <w:sz w:val="20"/>
      <w:szCs w:val="20"/>
      <w:lang w:val="cs-CZ" w:eastAsia="sk-SK" w:bidi="ar-SA"/>
    </w:rPr>
  </w:style>
  <w:style w:type="character" w:styleId="PostavenChar" w:customStyle="1">
    <w:name w:val="Postavení Char"/>
    <w:basedOn w:val="DefaultParagraphFont"/>
    <w:link w:val="Postaven"/>
    <w:qFormat/>
    <w:rsid w:val="00d17db8"/>
    <w:rPr>
      <w:rFonts w:ascii="Arial" w:hAnsi="Arial" w:eastAsia="Times New Roman" w:cs="Times New Roman"/>
      <w:b/>
      <w:spacing w:val="-10"/>
      <w:sz w:val="20"/>
      <w:szCs w:val="20"/>
      <w:lang w:val="cs-CZ" w:eastAsia="sk-SK" w:bidi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rsid w:val="00d17db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val="cs-CZ" w:eastAsia="sk-SK" w:bidi="ar-SA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osaenvzdln" w:customStyle="1">
    <w:name w:val="Dosažené vzdělání"/>
    <w:basedOn w:val="Telotextu"/>
    <w:autoRedefine/>
    <w:qFormat/>
    <w:rsid w:val="00d17db8"/>
    <w:pPr/>
    <w:rPr/>
  </w:style>
  <w:style w:type="paragraph" w:styleId="Adresa1" w:customStyle="1">
    <w:name w:val="Adresa 1"/>
    <w:basedOn w:val="Normal"/>
    <w:qFormat/>
    <w:rsid w:val="00d17db8"/>
    <w:pPr>
      <w:spacing w:lineRule="atLeast" w:line="200" w:before="0" w:after="0"/>
    </w:pPr>
    <w:rPr>
      <w:rFonts w:ascii="Times New Roman" w:hAnsi="Times New Roman" w:eastAsia="Times New Roman" w:cs="Times New Roman"/>
      <w:sz w:val="16"/>
      <w:szCs w:val="20"/>
      <w:lang w:val="cs-CZ" w:eastAsia="sk-SK" w:bidi="ar-SA"/>
    </w:rPr>
  </w:style>
  <w:style w:type="paragraph" w:styleId="Adresa2" w:customStyle="1">
    <w:name w:val="Adresa 2"/>
    <w:basedOn w:val="Normal"/>
    <w:qFormat/>
    <w:rsid w:val="00d17db8"/>
    <w:pPr>
      <w:spacing w:lineRule="atLeast" w:line="200" w:before="0" w:after="0"/>
    </w:pPr>
    <w:rPr>
      <w:rFonts w:ascii="Times New Roman" w:hAnsi="Times New Roman" w:eastAsia="Times New Roman" w:cs="Times New Roman"/>
      <w:sz w:val="16"/>
      <w:szCs w:val="20"/>
      <w:lang w:val="cs-CZ" w:eastAsia="sk-SK" w:bidi="ar-SA"/>
    </w:rPr>
  </w:style>
  <w:style w:type="paragraph" w:styleId="Nzevspolenosti" w:customStyle="1">
    <w:name w:val="Název společnosti"/>
    <w:basedOn w:val="Normal"/>
    <w:next w:val="Normal"/>
    <w:autoRedefine/>
    <w:qFormat/>
    <w:rsid w:val="00d17db8"/>
    <w:pPr>
      <w:tabs>
        <w:tab w:val="clear" w:pos="408"/>
        <w:tab w:val="left" w:pos="2160" w:leader="none"/>
        <w:tab w:val="right" w:pos="6480" w:leader="none"/>
      </w:tabs>
      <w:spacing w:lineRule="atLeast" w:line="220" w:before="220" w:after="40"/>
      <w:ind w:right="-360" w:hanging="0"/>
    </w:pPr>
    <w:rPr>
      <w:rFonts w:ascii="Times New Roman" w:hAnsi="Times New Roman" w:eastAsia="Times New Roman" w:cs="Times New Roman"/>
      <w:sz w:val="20"/>
      <w:szCs w:val="20"/>
      <w:lang w:val="cs-CZ" w:eastAsia="sk-SK" w:bidi="ar-SA"/>
    </w:rPr>
  </w:style>
  <w:style w:type="paragraph" w:styleId="Nzevspolenostijedna" w:customStyle="1">
    <w:name w:val="Název společnosti jedna"/>
    <w:basedOn w:val="Nzevspolenosti"/>
    <w:next w:val="Normal"/>
    <w:qFormat/>
    <w:rsid w:val="00d17db8"/>
    <w:pPr/>
    <w:rPr/>
  </w:style>
  <w:style w:type="paragraph" w:styleId="Postaven" w:customStyle="1">
    <w:name w:val="Postavení"/>
    <w:next w:val="Dosaenvzdln"/>
    <w:link w:val="PostavenChar"/>
    <w:qFormat/>
    <w:rsid w:val="00d17db8"/>
    <w:pPr>
      <w:widowControl/>
      <w:bidi w:val="0"/>
      <w:spacing w:lineRule="atLeast" w:line="220" w:before="0" w:after="40"/>
      <w:jc w:val="left"/>
    </w:pPr>
    <w:rPr>
      <w:rFonts w:ascii="Arial" w:hAnsi="Arial" w:eastAsia="Times New Roman" w:cs="Times New Roman"/>
      <w:b/>
      <w:color w:val="auto"/>
      <w:spacing w:val="-10"/>
      <w:kern w:val="0"/>
      <w:sz w:val="20"/>
      <w:szCs w:val="20"/>
      <w:lang w:val="cs-CZ" w:eastAsia="sk-SK" w:bidi="ar-SA"/>
    </w:rPr>
  </w:style>
  <w:style w:type="paragraph" w:styleId="Jmno" w:customStyle="1">
    <w:name w:val="Jméno"/>
    <w:basedOn w:val="Normal"/>
    <w:next w:val="Normal"/>
    <w:autoRedefine/>
    <w:qFormat/>
    <w:rsid w:val="00d17db8"/>
    <w:pPr>
      <w:spacing w:lineRule="atLeast" w:line="240" w:before="0" w:after="440"/>
      <w:ind w:left="2160" w:hanging="0"/>
    </w:pPr>
    <w:rPr>
      <w:rFonts w:ascii="Times New Roman" w:hAnsi="Times New Roman" w:eastAsia="Times New Roman" w:cs="Times New Roman"/>
      <w:spacing w:val="-20"/>
      <w:sz w:val="36"/>
      <w:szCs w:val="20"/>
      <w:lang w:val="cs-CZ" w:eastAsia="sk-SK" w:bidi="ar-SA"/>
    </w:rPr>
  </w:style>
  <w:style w:type="paragraph" w:styleId="Funkce" w:customStyle="1">
    <w:name w:val="Funkce"/>
    <w:basedOn w:val="Normal"/>
    <w:next w:val="Telotextu"/>
    <w:qFormat/>
    <w:rsid w:val="00d17db8"/>
    <w:pPr>
      <w:spacing w:lineRule="atLeast" w:line="220" w:before="220" w:after="220"/>
    </w:pPr>
    <w:rPr>
      <w:rFonts w:ascii="Times New Roman" w:hAnsi="Times New Roman" w:eastAsia="Times New Roman" w:cs="Times New Roman"/>
      <w:sz w:val="20"/>
      <w:szCs w:val="20"/>
      <w:lang w:val="cs-CZ" w:eastAsia="sk-SK" w:bidi="ar-SA"/>
    </w:rPr>
  </w:style>
  <w:style w:type="paragraph" w:styleId="Nadpisoddlu" w:customStyle="1">
    <w:name w:val="Nadpis oddílu"/>
    <w:basedOn w:val="Normal"/>
    <w:next w:val="Normal"/>
    <w:autoRedefine/>
    <w:qFormat/>
    <w:rsid w:val="00d17db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Rule="atLeast" w:line="280" w:before="120" w:after="0"/>
    </w:pPr>
    <w:rPr>
      <w:rFonts w:ascii="Arial" w:hAnsi="Arial" w:eastAsia="Times New Roman" w:cs="Times New Roman"/>
      <w:b/>
      <w:spacing w:val="-10"/>
      <w:sz w:val="20"/>
      <w:szCs w:val="20"/>
      <w:lang w:val="cs-CZ" w:eastAsia="sk-SK" w:bidi="ar-SA"/>
    </w:rPr>
  </w:style>
  <w:style w:type="paragraph" w:styleId="Hlavika">
    <w:name w:val="Header"/>
    <w:basedOn w:val="Normal"/>
    <w:link w:val="ZhlavChar"/>
    <w:rsid w:val="00d17db8"/>
    <w:pPr>
      <w:tabs>
        <w:tab w:val="clear" w:pos="408"/>
        <w:tab w:val="center" w:pos="4703" w:leader="none"/>
        <w:tab w:val="right" w:pos="94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cs-CZ" w:eastAsia="sk-SK" w:bidi="ar-SA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Application>LibreOffice/6.1.5.2$Windows_X86_64 LibreOffice_project/90f8dcf33c87b3705e78202e3df5142b201bd805</Application>
  <Pages>4</Pages>
  <Words>797</Words>
  <Characters>4987</Characters>
  <CharactersWithSpaces>5941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2010-09-27T15:15:00Z</dcterms:created>
  <dc:creator>Michal Vongrej</dc:creator>
  <dc:description/>
  <dc:language>sk-SK</dc:language>
  <cp:lastModifiedBy/>
  <dcterms:modified xsi:type="dcterms:W3CDTF">2019-05-07T14:52:20Z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