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70931">
        <w:rPr>
          <w:rFonts w:ascii="Arial" w:hAnsi="Arial" w:cs="Arial"/>
          <w:b/>
          <w:sz w:val="24"/>
          <w:szCs w:val="24"/>
        </w:rPr>
        <w:t>Koay</w:t>
      </w:r>
      <w:proofErr w:type="spellEnd"/>
      <w:r w:rsidRPr="00970931">
        <w:rPr>
          <w:rFonts w:ascii="Arial" w:hAnsi="Arial" w:cs="Arial"/>
          <w:b/>
          <w:sz w:val="24"/>
          <w:szCs w:val="24"/>
        </w:rPr>
        <w:t xml:space="preserve"> Chun </w:t>
      </w:r>
      <w:proofErr w:type="spellStart"/>
      <w:r w:rsidRPr="00970931">
        <w:rPr>
          <w:rFonts w:ascii="Arial" w:hAnsi="Arial" w:cs="Arial"/>
          <w:b/>
          <w:sz w:val="24"/>
          <w:szCs w:val="24"/>
        </w:rPr>
        <w:t>Foong</w:t>
      </w:r>
      <w:proofErr w:type="spellEnd"/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931">
        <w:rPr>
          <w:rFonts w:ascii="Arial" w:hAnsi="Arial" w:cs="Arial"/>
          <w:b/>
          <w:sz w:val="24"/>
          <w:szCs w:val="24"/>
        </w:rPr>
        <w:t>chunfoong.koay@gmail.com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931">
        <w:rPr>
          <w:rFonts w:ascii="Arial" w:hAnsi="Arial" w:cs="Arial"/>
          <w:b/>
          <w:sz w:val="24"/>
          <w:szCs w:val="24"/>
        </w:rPr>
        <w:t>+6018-2069133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931">
        <w:rPr>
          <w:rFonts w:ascii="Arial" w:hAnsi="Arial" w:cs="Arial"/>
          <w:b/>
          <w:sz w:val="24"/>
          <w:szCs w:val="24"/>
        </w:rPr>
        <w:t>Personal Details: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>D.O.B</w:t>
      </w:r>
      <w:r w:rsidRPr="00970931">
        <w:rPr>
          <w:rFonts w:ascii="Arial" w:hAnsi="Arial" w:cs="Arial"/>
          <w:sz w:val="24"/>
          <w:szCs w:val="24"/>
        </w:rPr>
        <w:tab/>
      </w:r>
      <w:r w:rsidRPr="00970931">
        <w:rPr>
          <w:rFonts w:ascii="Arial" w:hAnsi="Arial" w:cs="Arial"/>
          <w:sz w:val="24"/>
          <w:szCs w:val="24"/>
        </w:rPr>
        <w:tab/>
      </w:r>
      <w:r w:rsidRPr="00970931">
        <w:rPr>
          <w:rFonts w:ascii="Arial" w:hAnsi="Arial" w:cs="Arial"/>
          <w:sz w:val="24"/>
          <w:szCs w:val="24"/>
        </w:rPr>
        <w:tab/>
        <w:t>: 09 Feb 1986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>Nationality</w:t>
      </w:r>
      <w:r w:rsidRPr="009709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0931">
        <w:rPr>
          <w:rFonts w:ascii="Arial" w:hAnsi="Arial" w:cs="Arial"/>
          <w:sz w:val="24"/>
          <w:szCs w:val="24"/>
        </w:rPr>
        <w:t>: Malaysian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931">
        <w:rPr>
          <w:rFonts w:ascii="Arial" w:hAnsi="Arial" w:cs="Arial"/>
          <w:b/>
          <w:sz w:val="24"/>
          <w:szCs w:val="24"/>
        </w:rPr>
        <w:t>Academic Qualifications: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>2008-2010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>Taylor’s University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70931">
        <w:rPr>
          <w:rFonts w:ascii="Arial" w:hAnsi="Arial" w:cs="Arial"/>
          <w:sz w:val="24"/>
          <w:szCs w:val="24"/>
        </w:rPr>
        <w:t>UniSA</w:t>
      </w:r>
      <w:proofErr w:type="spellEnd"/>
      <w:r w:rsidRPr="00970931">
        <w:rPr>
          <w:rFonts w:ascii="Arial" w:hAnsi="Arial" w:cs="Arial"/>
          <w:sz w:val="24"/>
          <w:szCs w:val="24"/>
        </w:rPr>
        <w:t xml:space="preserve"> Bachelor of Journalism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>2005-2008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70931">
        <w:rPr>
          <w:rFonts w:ascii="Arial" w:hAnsi="Arial" w:cs="Arial"/>
          <w:sz w:val="24"/>
          <w:szCs w:val="24"/>
        </w:rPr>
        <w:t>Tunku</w:t>
      </w:r>
      <w:proofErr w:type="spellEnd"/>
      <w:r w:rsidRPr="00970931">
        <w:rPr>
          <w:rFonts w:ascii="Arial" w:hAnsi="Arial" w:cs="Arial"/>
          <w:sz w:val="24"/>
          <w:szCs w:val="24"/>
        </w:rPr>
        <w:t xml:space="preserve"> Abdul </w:t>
      </w:r>
      <w:proofErr w:type="spellStart"/>
      <w:r w:rsidRPr="00970931">
        <w:rPr>
          <w:rFonts w:ascii="Arial" w:hAnsi="Arial" w:cs="Arial"/>
          <w:sz w:val="24"/>
          <w:szCs w:val="24"/>
        </w:rPr>
        <w:t>Rahman</w:t>
      </w:r>
      <w:proofErr w:type="spellEnd"/>
      <w:r w:rsidRPr="00970931">
        <w:rPr>
          <w:rFonts w:ascii="Arial" w:hAnsi="Arial" w:cs="Arial"/>
          <w:sz w:val="24"/>
          <w:szCs w:val="24"/>
        </w:rPr>
        <w:t xml:space="preserve"> College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>Diploma in Mass Communication (Graphic Design)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931">
        <w:rPr>
          <w:rFonts w:ascii="Arial" w:hAnsi="Arial" w:cs="Arial"/>
          <w:b/>
          <w:sz w:val="24"/>
          <w:szCs w:val="24"/>
        </w:rPr>
        <w:t>Work Experience: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>Huck's Cafe (June 2012 - October 2013)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>Position held: Administrator</w:t>
      </w:r>
    </w:p>
    <w:p w:rsid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Malaysian Today (August</w:t>
      </w:r>
      <w:r w:rsidRPr="00970931">
        <w:rPr>
          <w:rFonts w:ascii="Arial" w:hAnsi="Arial" w:cs="Arial"/>
          <w:sz w:val="24"/>
          <w:szCs w:val="24"/>
        </w:rPr>
        <w:t xml:space="preserve"> 2010 - Jan 2011)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70931">
        <w:rPr>
          <w:rFonts w:ascii="Arial" w:hAnsi="Arial" w:cs="Arial"/>
          <w:sz w:val="24"/>
          <w:szCs w:val="24"/>
        </w:rPr>
        <w:t>UniSA</w:t>
      </w:r>
      <w:proofErr w:type="spellEnd"/>
      <w:r w:rsidRPr="00970931">
        <w:rPr>
          <w:rFonts w:ascii="Arial" w:hAnsi="Arial" w:cs="Arial"/>
          <w:sz w:val="24"/>
          <w:szCs w:val="24"/>
        </w:rPr>
        <w:t xml:space="preserve"> Bachelor of Journalism Internship </w:t>
      </w:r>
      <w:proofErr w:type="spellStart"/>
      <w:r w:rsidRPr="00970931">
        <w:rPr>
          <w:rFonts w:ascii="Arial" w:hAnsi="Arial" w:cs="Arial"/>
          <w:sz w:val="24"/>
          <w:szCs w:val="24"/>
        </w:rPr>
        <w:t>programme</w:t>
      </w:r>
      <w:proofErr w:type="spellEnd"/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>Position held: Trainee journalist</w:t>
      </w:r>
    </w:p>
    <w:p w:rsid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>Mail Boxes Etc. (May 2007 - Jan 2008)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>Position held: Retail Assistant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931">
        <w:rPr>
          <w:rFonts w:ascii="Arial" w:hAnsi="Arial" w:cs="Arial"/>
          <w:b/>
          <w:sz w:val="24"/>
          <w:szCs w:val="24"/>
        </w:rPr>
        <w:t>Skills: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>Good writing skills in English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70931">
        <w:rPr>
          <w:rFonts w:ascii="Arial" w:hAnsi="Arial" w:cs="Arial"/>
          <w:sz w:val="24"/>
          <w:szCs w:val="24"/>
        </w:rPr>
        <w:t xml:space="preserve">Fluent in English, Malay, Mandarin, Cantonese, </w:t>
      </w:r>
      <w:proofErr w:type="spellStart"/>
      <w:r w:rsidRPr="00970931">
        <w:rPr>
          <w:rFonts w:ascii="Arial" w:hAnsi="Arial" w:cs="Arial"/>
          <w:sz w:val="24"/>
          <w:szCs w:val="24"/>
        </w:rPr>
        <w:t>Hokkien</w:t>
      </w:r>
      <w:proofErr w:type="spellEnd"/>
      <w:r w:rsidRPr="00970931">
        <w:rPr>
          <w:rFonts w:ascii="Arial" w:hAnsi="Arial" w:cs="Arial"/>
          <w:sz w:val="24"/>
          <w:szCs w:val="24"/>
        </w:rPr>
        <w:t xml:space="preserve"> and standard Japanese.</w:t>
      </w:r>
      <w:proofErr w:type="gramEnd"/>
      <w:r w:rsidRPr="00970931">
        <w:rPr>
          <w:rFonts w:ascii="Arial" w:hAnsi="Arial" w:cs="Arial"/>
          <w:sz w:val="24"/>
          <w:szCs w:val="24"/>
        </w:rPr>
        <w:t xml:space="preserve"> 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 xml:space="preserve">Passed JLPT </w:t>
      </w:r>
      <w:r w:rsidR="00D833FE">
        <w:rPr>
          <w:rFonts w:ascii="Arial" w:hAnsi="Arial" w:cs="Arial"/>
          <w:sz w:val="24"/>
          <w:szCs w:val="24"/>
        </w:rPr>
        <w:t>N1</w:t>
      </w:r>
      <w:r w:rsidRPr="00970931">
        <w:rPr>
          <w:rFonts w:ascii="Arial" w:hAnsi="Arial" w:cs="Arial"/>
          <w:sz w:val="24"/>
          <w:szCs w:val="24"/>
        </w:rPr>
        <w:t>.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70931">
        <w:rPr>
          <w:rFonts w:ascii="Arial" w:hAnsi="Arial" w:cs="Arial"/>
          <w:sz w:val="24"/>
          <w:szCs w:val="24"/>
        </w:rPr>
        <w:t>High proficiency in operating with Windows PC.</w:t>
      </w:r>
      <w:proofErr w:type="gramEnd"/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70931">
        <w:rPr>
          <w:rFonts w:ascii="Arial" w:hAnsi="Arial" w:cs="Arial"/>
          <w:sz w:val="24"/>
          <w:szCs w:val="24"/>
        </w:rPr>
        <w:t>Excellent team-player and equally able to go solo.</w:t>
      </w:r>
      <w:proofErr w:type="gramEnd"/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70931">
        <w:rPr>
          <w:rFonts w:ascii="Arial" w:hAnsi="Arial" w:cs="Arial"/>
          <w:sz w:val="24"/>
          <w:szCs w:val="24"/>
        </w:rPr>
        <w:t>High work-rate and consistently able to meet project deadline.</w:t>
      </w:r>
      <w:proofErr w:type="gramEnd"/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>Personal Interests/Hobbies: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>Extensive reading in sports and video gaming industry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>Ancient Chinese and Japanese folklore and historical culture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 xml:space="preserve">Competitive </w:t>
      </w:r>
      <w:proofErr w:type="spellStart"/>
      <w:r w:rsidRPr="00970931">
        <w:rPr>
          <w:rFonts w:ascii="Arial" w:hAnsi="Arial" w:cs="Arial"/>
          <w:sz w:val="24"/>
          <w:szCs w:val="24"/>
        </w:rPr>
        <w:t>futsal</w:t>
      </w:r>
      <w:proofErr w:type="spellEnd"/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>Care for the environment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t xml:space="preserve">In </w:t>
      </w:r>
      <w:proofErr w:type="gramStart"/>
      <w:r w:rsidRPr="00970931">
        <w:rPr>
          <w:rFonts w:ascii="Arial" w:hAnsi="Arial" w:cs="Arial"/>
          <w:sz w:val="24"/>
          <w:szCs w:val="24"/>
        </w:rPr>
        <w:t>fit,</w:t>
      </w:r>
      <w:proofErr w:type="gramEnd"/>
      <w:r w:rsidRPr="00970931">
        <w:rPr>
          <w:rFonts w:ascii="Arial" w:hAnsi="Arial" w:cs="Arial"/>
          <w:sz w:val="24"/>
          <w:szCs w:val="24"/>
        </w:rPr>
        <w:t xml:space="preserve"> healthy shape and love to exercise regularly</w:t>
      </w: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0931" w:rsidRP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931">
        <w:rPr>
          <w:rFonts w:ascii="Arial" w:hAnsi="Arial" w:cs="Arial"/>
          <w:sz w:val="24"/>
          <w:szCs w:val="24"/>
        </w:rPr>
        <w:br w:type="page"/>
      </w:r>
    </w:p>
    <w:p w:rsid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0931">
        <w:rPr>
          <w:rFonts w:ascii="Arial" w:hAnsi="Arial" w:cs="Arial"/>
          <w:b/>
          <w:sz w:val="24"/>
          <w:szCs w:val="24"/>
        </w:rPr>
        <w:lastRenderedPageBreak/>
        <w:t>Portfolio/</w:t>
      </w:r>
      <w:r w:rsidR="00CF6A18">
        <w:rPr>
          <w:rFonts w:ascii="Arial" w:hAnsi="Arial" w:cs="Arial"/>
          <w:b/>
          <w:sz w:val="24"/>
          <w:szCs w:val="24"/>
        </w:rPr>
        <w:t>Translations</w:t>
      </w:r>
      <w:r w:rsidRPr="00970931">
        <w:rPr>
          <w:rFonts w:ascii="Arial" w:hAnsi="Arial" w:cs="Arial"/>
          <w:b/>
          <w:sz w:val="24"/>
          <w:szCs w:val="24"/>
        </w:rPr>
        <w:t xml:space="preserve"> Archive:</w:t>
      </w:r>
    </w:p>
    <w:p w:rsidR="00CF6A18" w:rsidRPr="00970931" w:rsidRDefault="00CF6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JP&gt;ENG</w:t>
      </w:r>
    </w:p>
    <w:tbl>
      <w:tblPr>
        <w:tblW w:w="11280" w:type="dxa"/>
        <w:tblInd w:w="-953" w:type="dxa"/>
        <w:tblLayout w:type="fixed"/>
        <w:tblCellMar>
          <w:left w:w="144" w:type="dxa"/>
          <w:right w:w="144" w:type="dxa"/>
        </w:tblCellMar>
        <w:tblLook w:val="04A0"/>
      </w:tblPr>
      <w:tblGrid>
        <w:gridCol w:w="4880"/>
        <w:gridCol w:w="6400"/>
      </w:tblGrid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インテルは同時期にと言っているが、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EUV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はずっと遅れてきた。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It was said to be at the same time with Intel, but EUV came much later.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[1]Q: high-k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 xml:space="preserve">メタルのインパクトは？　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CVD, CS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で。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[1]Q: What is the impact of high-k metal on CVD and CS?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ASMI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とは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ALD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でコンペ。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ASMI is to compete with ALD.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 xml:space="preserve">A: not so big, just incremental. 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Relatively small investment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A: not so big, just incremental. Relatively small investment.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 xml:space="preserve">エルピーダとマイクロンのインパクトは？　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incremental?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 xml:space="preserve">How about the impact of </w:t>
            </w:r>
            <w:proofErr w:type="spellStart"/>
            <w:r w:rsidRPr="00CF6A18">
              <w:rPr>
                <w:rFonts w:ascii="Arial" w:hAnsi="Arial" w:cs="Arial"/>
                <w:sz w:val="24"/>
                <w:szCs w:val="24"/>
              </w:rPr>
              <w:t>Elpida</w:t>
            </w:r>
            <w:proofErr w:type="spellEnd"/>
            <w:r w:rsidRPr="00CF6A18">
              <w:rPr>
                <w:rFonts w:ascii="Arial" w:hAnsi="Arial" w:cs="Arial"/>
                <w:sz w:val="24"/>
                <w:szCs w:val="24"/>
              </w:rPr>
              <w:t xml:space="preserve"> and Micron? Is it incremental?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ただの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tool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の入替？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Replacement of common tool?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[1]A: tech investment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がある。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[1]A: There is tech investment.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 xml:space="preserve">New tool in 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広島と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Rex.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New tool in Hiroshima and Rex.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[1]Q: R&amp;D investment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は？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[1]Q: What is R&amp;D investment?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売上の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15%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。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 xml:space="preserve"> down term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の時、どう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R&amp;D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決めるのか？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Sales of 15%. When down term, how will you decide on R&amp;D?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[1]Q: Cash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への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expectation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は？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 xml:space="preserve">[1]Q: How is the </w:t>
            </w:r>
            <w:proofErr w:type="spellStart"/>
            <w:r w:rsidRPr="00CF6A18">
              <w:rPr>
                <w:rFonts w:ascii="Arial" w:hAnsi="Arial" w:cs="Arial"/>
                <w:sz w:val="24"/>
                <w:szCs w:val="24"/>
              </w:rPr>
              <w:t>expection</w:t>
            </w:r>
            <w:proofErr w:type="spellEnd"/>
            <w:r w:rsidRPr="00CF6A18">
              <w:rPr>
                <w:rFonts w:ascii="Arial" w:hAnsi="Arial" w:cs="Arial"/>
                <w:sz w:val="24"/>
                <w:szCs w:val="24"/>
              </w:rPr>
              <w:t xml:space="preserve"> on Cash?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(TEL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からの質問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)[1]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(Questions from TEL)[1]</w:t>
            </w:r>
          </w:p>
        </w:tc>
      </w:tr>
    </w:tbl>
    <w:p w:rsidR="00970931" w:rsidRDefault="00970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280" w:type="dxa"/>
        <w:tblInd w:w="-953" w:type="dxa"/>
        <w:tblLayout w:type="fixed"/>
        <w:tblCellMar>
          <w:left w:w="144" w:type="dxa"/>
          <w:right w:w="144" w:type="dxa"/>
        </w:tblCellMar>
        <w:tblLook w:val="04A0"/>
      </w:tblPr>
      <w:tblGrid>
        <w:gridCol w:w="4880"/>
        <w:gridCol w:w="6400"/>
      </w:tblGrid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Q: TSV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は材料が難しいのか？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Q: Is it difficult for the materials of TSV?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スマホスペックはもう十分。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Smartphone specs are already enough.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果たして伸びる市場ないのか？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Is there really no extendable market?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成長性あるのか？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Is there a growth possibility?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先端技術が必要なのか？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Is advanced technology necessary?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[1]Q: GMO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は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semi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 xml:space="preserve">に積極的には投資しない。　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6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か月でサイクルが終わってしまうので、もう少し長ければいいのだが。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[1] Q: GMO do not actively invest in semi. The cycle will end in 6 months, though I wish it can be a little longer.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eastAsia="ja-JP"/>
              </w:rPr>
              <w:t>3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年くらい、良い株を保有したい。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I want to hold on to good stock for about 3 years.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顧客</w:t>
            </w:r>
            <w:r w:rsidRPr="00CF6A18">
              <w:rPr>
                <w:rFonts w:ascii="Arial" w:hAnsi="Arial" w:cs="Arial"/>
                <w:sz w:val="24"/>
                <w:szCs w:val="24"/>
                <w:lang w:eastAsia="ja-JP"/>
              </w:rPr>
              <w:t>（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メーカー</w:t>
            </w:r>
            <w:r w:rsidRPr="00CF6A18">
              <w:rPr>
                <w:rFonts w:ascii="Arial" w:hAnsi="Arial" w:cs="Arial"/>
                <w:sz w:val="24"/>
                <w:szCs w:val="24"/>
                <w:lang w:eastAsia="ja-JP"/>
              </w:rPr>
              <w:t>）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が少なくなればいけると思う。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I think the makers will become less.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プロフィットがので投資を。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If there is profit, invest.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[1]Q: tool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のライフサイクル。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[1]Q: Life cycle of tool.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なぜインテルは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2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年おきに投資がいるのか？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Why is Intel investing every 2 years?</w:t>
            </w:r>
          </w:p>
        </w:tc>
      </w:tr>
    </w:tbl>
    <w:p w:rsidR="00CF6A18" w:rsidRDefault="00CF6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6A18" w:rsidRPr="00970931" w:rsidRDefault="00CF6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1280" w:type="dxa"/>
        <w:tblInd w:w="-953" w:type="dxa"/>
        <w:tblLayout w:type="fixed"/>
        <w:tblCellMar>
          <w:left w:w="144" w:type="dxa"/>
          <w:right w:w="144" w:type="dxa"/>
        </w:tblCellMar>
        <w:tblLook w:val="04A0"/>
      </w:tblPr>
      <w:tblGrid>
        <w:gridCol w:w="4880"/>
        <w:gridCol w:w="6400"/>
      </w:tblGrid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lastRenderedPageBreak/>
              <w:t>利益どこから出てるの？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Where does the profit come from?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Q: ES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でシェア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40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％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 xml:space="preserve">  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 xml:space="preserve">　どれくらい利益上がるの？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Q: With 40% shares at ES, how much will the profit go up?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業界再編あるか？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 xml:space="preserve">Is there </w:t>
            </w:r>
            <w:proofErr w:type="gramStart"/>
            <w:r w:rsidRPr="00CF6A18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CF6A18">
              <w:rPr>
                <w:rFonts w:ascii="Arial" w:hAnsi="Arial" w:cs="Arial"/>
                <w:sz w:val="24"/>
                <w:szCs w:val="24"/>
              </w:rPr>
              <w:t xml:space="preserve"> industry reorganization?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 xml:space="preserve">既に始まっているし、つづく。　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450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もある。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 xml:space="preserve">It has already started, so we continue. There </w:t>
            </w:r>
            <w:proofErr w:type="gramStart"/>
            <w:r w:rsidRPr="00CF6A18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CF6A18">
              <w:rPr>
                <w:rFonts w:ascii="Arial" w:hAnsi="Arial" w:cs="Arial"/>
                <w:sz w:val="24"/>
                <w:szCs w:val="24"/>
              </w:rPr>
              <w:t xml:space="preserve"> also 450.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eastAsia="ja-JP"/>
              </w:rPr>
              <w:t>Q: TEL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もアクティブになると</w:t>
            </w:r>
            <w:r w:rsidRPr="00CF6A18">
              <w:rPr>
                <w:rFonts w:ascii="Arial" w:hAnsi="Arial" w:cs="Arial"/>
                <w:sz w:val="24"/>
                <w:szCs w:val="24"/>
                <w:lang w:eastAsia="ja-JP"/>
              </w:rPr>
              <w:t>？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 xml:space="preserve">　</w:t>
            </w:r>
            <w:r w:rsidRPr="00CF6A18">
              <w:rPr>
                <w:rFonts w:ascii="Arial" w:hAnsi="Arial" w:cs="Arial"/>
                <w:sz w:val="24"/>
                <w:szCs w:val="24"/>
              </w:rPr>
              <w:t>M&amp;A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あるの</w:t>
            </w:r>
            <w:r w:rsidRPr="00CF6A18">
              <w:rPr>
                <w:rFonts w:ascii="Arial" w:hAnsi="Arial" w:cs="Arial"/>
                <w:sz w:val="24"/>
                <w:szCs w:val="24"/>
              </w:rPr>
              <w:t>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Q: Has TEL also become active? Is there M&amp;A?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[1]A: Big Revenue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大事。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[1]A: Big Revenue is important.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プロフィットも大事。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Profit is also important.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それでは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DNS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買えば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goal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 xml:space="preserve">達成か？　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DNS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の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valuation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低いからチャンスでは？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So does it mean you will achieve your goal if you buy DNS? Is this a chance with the valuation of DNS being low?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如何に株主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value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上げるかと、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anti trust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の問題ある。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How will you raise the shareholders’ value, with the problem of anti-trust around?</w:t>
            </w:r>
          </w:p>
        </w:tc>
      </w:tr>
    </w:tbl>
    <w:p w:rsidR="00CF6A18" w:rsidRDefault="00CF6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280" w:type="dxa"/>
        <w:tblInd w:w="-953" w:type="dxa"/>
        <w:tblLayout w:type="fixed"/>
        <w:tblCellMar>
          <w:left w:w="144" w:type="dxa"/>
          <w:right w:w="144" w:type="dxa"/>
        </w:tblCellMar>
        <w:tblLook w:val="04A0"/>
      </w:tblPr>
      <w:tblGrid>
        <w:gridCol w:w="4880"/>
        <w:gridCol w:w="6400"/>
      </w:tblGrid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テクニカル、リーダーシップ持つなら、強いプロダクトに集中させるべきでは？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If you have leadership in technical area, can the focus be put on making strong products?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それぞれのセグメントでシェア、利益とれると考えている。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We have thought of the profitability when sharing out each segment.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Q: B/</w:t>
            </w:r>
            <w:proofErr w:type="gramStart"/>
            <w:r w:rsidRPr="00CF6A18">
              <w:rPr>
                <w:rFonts w:ascii="Arial" w:hAnsi="Arial" w:cs="Arial"/>
                <w:sz w:val="24"/>
                <w:szCs w:val="24"/>
              </w:rPr>
              <w:t>S  right</w:t>
            </w:r>
            <w:proofErr w:type="gramEnd"/>
            <w:r w:rsidRPr="00CF6A18">
              <w:rPr>
                <w:rFonts w:ascii="Arial" w:hAnsi="Arial" w:cs="Arial"/>
                <w:sz w:val="24"/>
                <w:szCs w:val="24"/>
              </w:rPr>
              <w:t xml:space="preserve"> level of debt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は</w:t>
            </w:r>
            <w:r w:rsidRPr="00CF6A18">
              <w:rPr>
                <w:rFonts w:ascii="Arial" w:hAnsi="Arial" w:cs="Arial"/>
                <w:sz w:val="24"/>
                <w:szCs w:val="24"/>
              </w:rPr>
              <w:t>？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 xml:space="preserve">　</w:t>
            </w:r>
            <w:r w:rsidRPr="00CF6A18">
              <w:rPr>
                <w:rFonts w:ascii="Arial" w:hAnsi="Arial" w:cs="Arial"/>
                <w:sz w:val="24"/>
                <w:szCs w:val="24"/>
              </w:rPr>
              <w:t>0.8%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か</w:t>
            </w:r>
            <w:r w:rsidRPr="00CF6A18">
              <w:rPr>
                <w:rFonts w:ascii="Arial" w:hAnsi="Arial" w:cs="Arial"/>
                <w:sz w:val="24"/>
                <w:szCs w:val="24"/>
              </w:rPr>
              <w:t>？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 xml:space="preserve">　</w:t>
            </w:r>
            <w:r w:rsidRPr="00CF6A18">
              <w:rPr>
                <w:rFonts w:ascii="Arial" w:hAnsi="Arial" w:cs="Arial"/>
                <w:sz w:val="24"/>
                <w:szCs w:val="24"/>
              </w:rPr>
              <w:t>B/S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の</w:t>
            </w:r>
            <w:r w:rsidRPr="00CF6A18">
              <w:rPr>
                <w:rFonts w:ascii="Arial" w:hAnsi="Arial" w:cs="Arial"/>
                <w:sz w:val="24"/>
                <w:szCs w:val="24"/>
              </w:rPr>
              <w:t>goal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は</w:t>
            </w:r>
            <w:r w:rsidRPr="00CF6A18">
              <w:rPr>
                <w:rFonts w:ascii="Arial" w:hAnsi="Arial" w:cs="Arial"/>
                <w:sz w:val="24"/>
                <w:szCs w:val="24"/>
              </w:rPr>
              <w:t>？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 xml:space="preserve">　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Cash   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どうしていくのか</w:t>
            </w:r>
            <w:r w:rsidRPr="00CF6A18">
              <w:rPr>
                <w:rFonts w:ascii="Arial" w:hAnsi="Arial" w:cs="Arial"/>
                <w:sz w:val="24"/>
                <w:szCs w:val="24"/>
              </w:rPr>
              <w:t>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Q: What is B/S right level of debt? Is it 0.8%? What is the goal of B/S? What is the plan with cash?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A: Cash rich is fine. But 2470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 xml:space="preserve">億は多い。　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Investment for growing future 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 xml:space="preserve">に使いたい。　</w:t>
            </w:r>
            <w:r w:rsidRPr="00CF6A18">
              <w:rPr>
                <w:rFonts w:ascii="Arial" w:hAnsi="Arial" w:cs="Arial"/>
                <w:sz w:val="24"/>
                <w:szCs w:val="24"/>
              </w:rPr>
              <w:t>If no idea, return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する。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A: Cash rich is fine, but 247 billion is a big amount. We want to use it in investment for growing future. If there is no idea, we will return.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しばらく積まれたままだが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…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。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 xml:space="preserve"> 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mkt cap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の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40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％は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cash…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Though they have remained stack for a while... 40% of market cap is cash...</w:t>
            </w:r>
          </w:p>
        </w:tc>
      </w:tr>
    </w:tbl>
    <w:p w:rsidR="00CF6A18" w:rsidRDefault="00CF6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280" w:type="dxa"/>
        <w:tblInd w:w="-953" w:type="dxa"/>
        <w:tblLayout w:type="fixed"/>
        <w:tblCellMar>
          <w:left w:w="144" w:type="dxa"/>
          <w:right w:w="144" w:type="dxa"/>
        </w:tblCellMar>
        <w:tblLook w:val="04A0"/>
      </w:tblPr>
      <w:tblGrid>
        <w:gridCol w:w="4880"/>
        <w:gridCol w:w="6400"/>
      </w:tblGrid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基本的なところから、教えて欲しい。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Since it is a basic place, I want to tell.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Q: 450nm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の影響。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Q: The effect of 450nm.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赤字にはならない？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Will it not become deficit?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マーケットは何で成長するの？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How will the market grow?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今回と前回の状況。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The current conditions and that of last.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何が違う？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What is the difference?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新しいエリア、何をやっていくの？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What are you going to do with the new area?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[1]Q: PV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客はどこにいるの？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[1] Q: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儲かるの？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Is it profitable?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 xml:space="preserve">[1]Q: M&amp;A </w:t>
            </w:r>
            <w:r w:rsidRPr="00CF6A18">
              <w:rPr>
                <w:rFonts w:ascii="Arial" w:hAnsi="Arial" w:cs="Arial"/>
                <w:sz w:val="24"/>
                <w:szCs w:val="24"/>
                <w:lang w:val="ja-JP"/>
              </w:rPr>
              <w:t>は続くの？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[1] Q: What is next for M&amp;A?</w:t>
            </w:r>
          </w:p>
        </w:tc>
      </w:tr>
      <w:tr w:rsidR="00CF6A18" w:rsidRPr="00CF6A18" w:rsidTr="00CF6A18">
        <w:tc>
          <w:tcPr>
            <w:tcW w:w="4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 xml:space="preserve">今もチャンス？　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>Top10</w:t>
            </w:r>
            <w:r w:rsidRPr="00CF6A18">
              <w:rPr>
                <w:rFonts w:ascii="Arial" w:hAnsi="Arial" w:cs="Arial"/>
                <w:sz w:val="24"/>
                <w:szCs w:val="24"/>
                <w:lang w:val="ja-JP" w:eastAsia="ja-JP"/>
              </w:rPr>
              <w:t xml:space="preserve">　コンソリ可能？</w:t>
            </w:r>
          </w:p>
        </w:tc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Is it a chance now? Possible for Top 10 consolidation?</w:t>
            </w:r>
          </w:p>
        </w:tc>
      </w:tr>
    </w:tbl>
    <w:p w:rsidR="00CF6A18" w:rsidRDefault="00CF6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6A18">
        <w:rPr>
          <w:rFonts w:ascii="Arial" w:hAnsi="Arial" w:cs="Arial"/>
          <w:b/>
          <w:sz w:val="24"/>
          <w:szCs w:val="24"/>
        </w:rPr>
        <w:t>CHI&gt;ENG</w:t>
      </w:r>
    </w:p>
    <w:p w:rsidR="00CF6A18" w:rsidRDefault="00CB5BB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Arial" w:hAnsi="Arial" w:cs="Arial"/>
          <w:b/>
          <w:sz w:val="24"/>
          <w:szCs w:val="24"/>
        </w:rPr>
        <w:lastRenderedPageBreak/>
        <w:fldChar w:fldCharType="begin"/>
      </w:r>
      <w:r w:rsidR="00CF6A18">
        <w:rPr>
          <w:rFonts w:ascii="Arial" w:hAnsi="Arial" w:cs="Arial"/>
          <w:b/>
          <w:sz w:val="24"/>
          <w:szCs w:val="24"/>
        </w:rPr>
        <w:instrText xml:space="preserve"> LINK </w:instrText>
      </w:r>
      <w:r w:rsidR="00D833FE">
        <w:rPr>
          <w:rFonts w:ascii="Arial" w:hAnsi="Arial" w:cs="Arial"/>
          <w:b/>
          <w:sz w:val="24"/>
          <w:szCs w:val="24"/>
        </w:rPr>
        <w:instrText xml:space="preserve">Excel.Sheet.8 C:\\Users\\tidurman\\Downloads\\MH80-NM066-7SC_B-part4(translated).xlsx Sheet1!R4C1:R9C2 </w:instrText>
      </w:r>
      <w:r w:rsidR="00CF6A18">
        <w:rPr>
          <w:rFonts w:ascii="Arial" w:hAnsi="Arial" w:cs="Arial"/>
          <w:b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</w:p>
    <w:tbl>
      <w:tblPr>
        <w:tblStyle w:val="TableGrid"/>
        <w:tblW w:w="10120" w:type="dxa"/>
        <w:tblInd w:w="-368" w:type="dxa"/>
        <w:tblLook w:val="04A0"/>
      </w:tblPr>
      <w:tblGrid>
        <w:gridCol w:w="6060"/>
        <w:gridCol w:w="4060"/>
      </w:tblGrid>
      <w:tr w:rsidR="00CF6A18" w:rsidRPr="00CF6A18" w:rsidTr="00CF6A18">
        <w:trPr>
          <w:trHeight w:val="1200"/>
        </w:trPr>
        <w:tc>
          <w:tcPr>
            <w:tcW w:w="6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初始条件是指终端测试的一组配置和</w:t>
            </w:r>
            <w:r w:rsidRPr="00CF6A18">
              <w:rPr>
                <w:rFonts w:ascii="Arial" w:hAnsi="Arial" w:cs="Arial"/>
                <w:sz w:val="24"/>
                <w:szCs w:val="24"/>
              </w:rPr>
              <w:t>SS</w:t>
            </w:r>
            <w:r w:rsidRPr="00CF6A18">
              <w:rPr>
                <w:rFonts w:ascii="Arial" w:hAnsi="Arial" w:cs="Arial"/>
                <w:sz w:val="24"/>
                <w:szCs w:val="24"/>
              </w:rPr>
              <w:t>把终端带入正确的被测状态的步骤。</w:t>
            </w:r>
          </w:p>
        </w:tc>
        <w:tc>
          <w:tcPr>
            <w:tcW w:w="4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Initial conditions mean steps where a group of configurations and SS are used to bring the terminal into optimal testing status in a terminal test.</w:t>
            </w:r>
          </w:p>
        </w:tc>
      </w:tr>
      <w:tr w:rsidR="00CF6A18" w:rsidRPr="00CF6A18" w:rsidTr="00CF6A18">
        <w:trPr>
          <w:trHeight w:val="900"/>
        </w:trPr>
        <w:tc>
          <w:tcPr>
            <w:tcW w:w="6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测试前的</w:t>
            </w:r>
            <w:r w:rsidRPr="00CF6A18">
              <w:rPr>
                <w:rFonts w:ascii="Arial" w:hAnsi="Arial" w:cs="Arial"/>
                <w:sz w:val="24"/>
                <w:szCs w:val="24"/>
              </w:rPr>
              <w:t>PDSCH</w:t>
            </w:r>
            <w:r w:rsidRPr="00CF6A18">
              <w:rPr>
                <w:rFonts w:ascii="Arial" w:hAnsi="Arial" w:cs="Arial"/>
                <w:sz w:val="24"/>
                <w:szCs w:val="24"/>
              </w:rPr>
              <w:t>和</w:t>
            </w:r>
            <w:r w:rsidRPr="00CF6A18">
              <w:rPr>
                <w:rFonts w:ascii="Arial" w:hAnsi="Arial" w:cs="Arial"/>
                <w:sz w:val="24"/>
                <w:szCs w:val="24"/>
              </w:rPr>
              <w:t>PDCCH</w:t>
            </w:r>
            <w:r w:rsidRPr="00CF6A18">
              <w:rPr>
                <w:rFonts w:ascii="Arial" w:hAnsi="Arial" w:cs="Arial"/>
                <w:sz w:val="24"/>
                <w:szCs w:val="24"/>
              </w:rPr>
              <w:t>配置在</w:t>
            </w:r>
            <w:r w:rsidRPr="00CF6A18">
              <w:rPr>
                <w:rFonts w:ascii="Arial" w:hAnsi="Arial" w:cs="Arial"/>
                <w:sz w:val="24"/>
                <w:szCs w:val="24"/>
              </w:rPr>
              <w:t>3GPP TS36.521-1</w:t>
            </w:r>
            <w:r w:rsidRPr="00CF6A18">
              <w:rPr>
                <w:rFonts w:ascii="Arial" w:hAnsi="Arial" w:cs="Arial"/>
                <w:sz w:val="24"/>
                <w:szCs w:val="24"/>
              </w:rPr>
              <w:t>附录</w:t>
            </w:r>
            <w:r w:rsidRPr="00CF6A18">
              <w:rPr>
                <w:rFonts w:ascii="Arial" w:hAnsi="Arial" w:cs="Arial"/>
                <w:sz w:val="24"/>
                <w:szCs w:val="24"/>
              </w:rPr>
              <w:t>C.2</w:t>
            </w:r>
            <w:r w:rsidRPr="00CF6A18">
              <w:rPr>
                <w:rFonts w:ascii="Arial" w:hAnsi="Arial" w:cs="Arial"/>
                <w:sz w:val="24"/>
                <w:szCs w:val="24"/>
              </w:rPr>
              <w:t>中描述。</w:t>
            </w:r>
          </w:p>
        </w:tc>
        <w:tc>
          <w:tcPr>
            <w:tcW w:w="4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6A18">
              <w:rPr>
                <w:rFonts w:ascii="Arial" w:hAnsi="Arial" w:cs="Arial"/>
                <w:sz w:val="24"/>
                <w:szCs w:val="24"/>
              </w:rPr>
              <w:t>Configurations of PDSCH and PDCCH before test is</w:t>
            </w:r>
            <w:proofErr w:type="gramEnd"/>
            <w:r w:rsidRPr="00CF6A18">
              <w:rPr>
                <w:rFonts w:ascii="Arial" w:hAnsi="Arial" w:cs="Arial"/>
                <w:sz w:val="24"/>
                <w:szCs w:val="24"/>
              </w:rPr>
              <w:t xml:space="preserve"> described in 3GPP TS 36.521-1 Appendix C.2.</w:t>
            </w:r>
          </w:p>
        </w:tc>
      </w:tr>
      <w:tr w:rsidR="00CF6A18" w:rsidRPr="00CF6A18" w:rsidTr="00CF6A18">
        <w:trPr>
          <w:trHeight w:val="600"/>
        </w:trPr>
        <w:tc>
          <w:tcPr>
            <w:tcW w:w="6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测试环境：按照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3GPP TS36.508 </w:t>
            </w:r>
            <w:r w:rsidRPr="00CF6A18">
              <w:rPr>
                <w:rFonts w:ascii="Arial" w:hAnsi="Arial" w:cs="Arial"/>
                <w:sz w:val="24"/>
                <w:szCs w:val="24"/>
              </w:rPr>
              <w:t>，</w:t>
            </w:r>
            <w:r w:rsidRPr="00CF6A18">
              <w:rPr>
                <w:rFonts w:ascii="Arial" w:hAnsi="Arial" w:cs="Arial"/>
                <w:sz w:val="24"/>
                <w:szCs w:val="24"/>
              </w:rPr>
              <w:t>4.1</w:t>
            </w:r>
            <w:r w:rsidRPr="00CF6A18">
              <w:rPr>
                <w:rFonts w:ascii="Arial" w:hAnsi="Arial" w:cs="Arial"/>
                <w:sz w:val="24"/>
                <w:szCs w:val="24"/>
              </w:rPr>
              <w:t>中的标准环境</w:t>
            </w:r>
          </w:p>
        </w:tc>
        <w:tc>
          <w:tcPr>
            <w:tcW w:w="4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Test Setting: according to the standard setting written in 3GPP TS36.508, 4.1.</w:t>
            </w:r>
          </w:p>
        </w:tc>
      </w:tr>
      <w:tr w:rsidR="00CF6A18" w:rsidRPr="00CF6A18" w:rsidTr="00CF6A18">
        <w:trPr>
          <w:trHeight w:val="600"/>
        </w:trPr>
        <w:tc>
          <w:tcPr>
            <w:tcW w:w="6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测试频点：按照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3GPP 36.508  </w:t>
            </w:r>
            <w:r w:rsidRPr="00CF6A18">
              <w:rPr>
                <w:rFonts w:ascii="Arial" w:hAnsi="Arial" w:cs="Arial"/>
                <w:sz w:val="24"/>
                <w:szCs w:val="24"/>
              </w:rPr>
              <w:t>，</w:t>
            </w:r>
            <w:r w:rsidRPr="00CF6A18">
              <w:rPr>
                <w:rFonts w:ascii="Arial" w:hAnsi="Arial" w:cs="Arial"/>
                <w:sz w:val="24"/>
                <w:szCs w:val="24"/>
              </w:rPr>
              <w:t>4.3.1.1</w:t>
            </w:r>
            <w:r w:rsidRPr="00CF6A18">
              <w:rPr>
                <w:rFonts w:ascii="Arial" w:hAnsi="Arial" w:cs="Arial"/>
                <w:sz w:val="24"/>
                <w:szCs w:val="24"/>
              </w:rPr>
              <w:t>中定义的中间范围（</w:t>
            </w:r>
            <w:r w:rsidRPr="00CF6A18">
              <w:rPr>
                <w:rFonts w:ascii="Arial" w:hAnsi="Arial" w:cs="Arial"/>
                <w:sz w:val="24"/>
                <w:szCs w:val="24"/>
              </w:rPr>
              <w:t>Mid Range</w:t>
            </w:r>
            <w:r w:rsidRPr="00CF6A18">
              <w:rPr>
                <w:rFonts w:ascii="Arial" w:hAnsi="Arial" w:cs="Arial"/>
                <w:sz w:val="24"/>
                <w:szCs w:val="24"/>
              </w:rPr>
              <w:t>）</w:t>
            </w:r>
          </w:p>
        </w:tc>
        <w:tc>
          <w:tcPr>
            <w:tcW w:w="4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Test Frequency: according to the defined mid-range written in 3GPP 36.508, 4.3.1.1.</w:t>
            </w:r>
          </w:p>
        </w:tc>
      </w:tr>
      <w:tr w:rsidR="00CF6A18" w:rsidRPr="00CF6A18" w:rsidTr="00CF6A18">
        <w:trPr>
          <w:trHeight w:val="600"/>
        </w:trPr>
        <w:tc>
          <w:tcPr>
            <w:tcW w:w="6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测试带宽：</w:t>
            </w:r>
            <w:r w:rsidRPr="00CF6A18">
              <w:rPr>
                <w:rFonts w:ascii="Arial" w:hAnsi="Arial" w:cs="Arial"/>
                <w:sz w:val="24"/>
                <w:szCs w:val="24"/>
              </w:rPr>
              <w:t>10MHz</w:t>
            </w:r>
            <w:r w:rsidRPr="00CF6A18">
              <w:rPr>
                <w:rFonts w:ascii="Arial" w:hAnsi="Arial" w:cs="Arial"/>
                <w:sz w:val="24"/>
                <w:szCs w:val="24"/>
              </w:rPr>
              <w:t>，在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3GPP 36.508  </w:t>
            </w:r>
            <w:r w:rsidRPr="00CF6A18">
              <w:rPr>
                <w:rFonts w:ascii="Arial" w:hAnsi="Arial" w:cs="Arial"/>
                <w:sz w:val="24"/>
                <w:szCs w:val="24"/>
              </w:rPr>
              <w:t>，</w:t>
            </w:r>
            <w:r w:rsidRPr="00CF6A18">
              <w:rPr>
                <w:rFonts w:ascii="Arial" w:hAnsi="Arial" w:cs="Arial"/>
                <w:sz w:val="24"/>
                <w:szCs w:val="24"/>
              </w:rPr>
              <w:t>4.3.1.1</w:t>
            </w:r>
            <w:r w:rsidRPr="00CF6A18">
              <w:rPr>
                <w:rFonts w:ascii="Arial" w:hAnsi="Arial" w:cs="Arial"/>
                <w:sz w:val="24"/>
                <w:szCs w:val="24"/>
              </w:rPr>
              <w:t>中描述</w:t>
            </w:r>
          </w:p>
        </w:tc>
        <w:tc>
          <w:tcPr>
            <w:tcW w:w="4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Test Bandwidth: 10MHz, as described in 3GPP 36.508, 4.3.1.1.</w:t>
            </w:r>
          </w:p>
        </w:tc>
      </w:tr>
      <w:tr w:rsidR="00CF6A18" w:rsidRPr="00CF6A18" w:rsidTr="00CF6A18">
        <w:trPr>
          <w:trHeight w:val="900"/>
        </w:trPr>
        <w:tc>
          <w:tcPr>
            <w:tcW w:w="6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按照</w:t>
            </w:r>
            <w:r w:rsidRPr="00CF6A18">
              <w:rPr>
                <w:rFonts w:ascii="Arial" w:hAnsi="Arial" w:cs="Arial"/>
                <w:sz w:val="24"/>
                <w:szCs w:val="24"/>
              </w:rPr>
              <w:t>3GPP 36.508</w:t>
            </w:r>
            <w:r w:rsidRPr="00CF6A18">
              <w:rPr>
                <w:rFonts w:ascii="Arial" w:hAnsi="Arial" w:cs="Arial"/>
                <w:sz w:val="24"/>
                <w:szCs w:val="24"/>
              </w:rPr>
              <w:t>附录的图</w:t>
            </w:r>
            <w:r w:rsidRPr="00CF6A18">
              <w:rPr>
                <w:rFonts w:ascii="Arial" w:hAnsi="Arial" w:cs="Arial"/>
                <w:sz w:val="24"/>
                <w:szCs w:val="24"/>
              </w:rPr>
              <w:t>.10</w:t>
            </w:r>
            <w:r w:rsidRPr="00CF6A18">
              <w:rPr>
                <w:rFonts w:ascii="Arial" w:hAnsi="Arial" w:cs="Arial"/>
                <w:sz w:val="24"/>
                <w:szCs w:val="24"/>
              </w:rPr>
              <w:t>连接</w:t>
            </w:r>
            <w:r w:rsidRPr="00CF6A18">
              <w:rPr>
                <w:rFonts w:ascii="Arial" w:hAnsi="Arial" w:cs="Arial"/>
                <w:sz w:val="24"/>
                <w:szCs w:val="24"/>
              </w:rPr>
              <w:t>SS</w:t>
            </w:r>
            <w:r w:rsidRPr="00CF6A18">
              <w:rPr>
                <w:rFonts w:ascii="Arial" w:hAnsi="Arial" w:cs="Arial"/>
                <w:sz w:val="24"/>
                <w:szCs w:val="24"/>
              </w:rPr>
              <w:t>和终端的天线连接器。</w:t>
            </w:r>
          </w:p>
        </w:tc>
        <w:tc>
          <w:tcPr>
            <w:tcW w:w="4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 xml:space="preserve">Connect the antenna connectors of SS and terminal according to 3GPP 36.508 Appendix </w:t>
            </w:r>
            <w:proofErr w:type="gramStart"/>
            <w:r w:rsidRPr="00CF6A18">
              <w:rPr>
                <w:rFonts w:ascii="Arial" w:hAnsi="Arial" w:cs="Arial"/>
                <w:sz w:val="24"/>
                <w:szCs w:val="24"/>
              </w:rPr>
              <w:t>diagram</w:t>
            </w:r>
            <w:proofErr w:type="gramEnd"/>
            <w:r w:rsidRPr="00CF6A18">
              <w:rPr>
                <w:rFonts w:ascii="Arial" w:hAnsi="Arial" w:cs="Arial"/>
                <w:sz w:val="24"/>
                <w:szCs w:val="24"/>
              </w:rPr>
              <w:t xml:space="preserve"> 10.</w:t>
            </w:r>
          </w:p>
        </w:tc>
      </w:tr>
    </w:tbl>
    <w:p w:rsidR="00CF6A18" w:rsidRDefault="00CB5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:rsidR="00CF6A18" w:rsidRDefault="00CB5BB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CF6A18">
        <w:rPr>
          <w:rFonts w:ascii="Arial" w:hAnsi="Arial" w:cs="Arial"/>
          <w:sz w:val="24"/>
          <w:szCs w:val="24"/>
        </w:rPr>
        <w:instrText xml:space="preserve"> LINK </w:instrText>
      </w:r>
      <w:r w:rsidR="00D833FE">
        <w:rPr>
          <w:rFonts w:ascii="Arial" w:hAnsi="Arial" w:cs="Arial"/>
          <w:sz w:val="24"/>
          <w:szCs w:val="24"/>
        </w:rPr>
        <w:instrText xml:space="preserve">Excel.Sheet.8 C:\\Users\\tidurman\\Downloads\\MH80-NM066-7SC_B-part4(translated).xlsx Sheet1!R74C1:R79C2 </w:instrText>
      </w:r>
      <w:r w:rsidR="00CF6A18">
        <w:rPr>
          <w:rFonts w:ascii="Arial" w:hAnsi="Arial" w:cs="Arial"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leGrid"/>
        <w:tblW w:w="10120" w:type="dxa"/>
        <w:tblInd w:w="-368" w:type="dxa"/>
        <w:tblLook w:val="04A0"/>
      </w:tblPr>
      <w:tblGrid>
        <w:gridCol w:w="6060"/>
        <w:gridCol w:w="4060"/>
      </w:tblGrid>
      <w:tr w:rsidR="00CF6A18" w:rsidRPr="00CF6A18" w:rsidTr="00CF6A18">
        <w:trPr>
          <w:trHeight w:val="2400"/>
        </w:trPr>
        <w:tc>
          <w:tcPr>
            <w:tcW w:w="6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为了避免</w:t>
            </w:r>
            <w:r w:rsidRPr="00CF6A18">
              <w:rPr>
                <w:rFonts w:ascii="Arial" w:hAnsi="Arial" w:cs="Arial"/>
                <w:sz w:val="24"/>
                <w:szCs w:val="24"/>
              </w:rPr>
              <w:t>RI</w:t>
            </w:r>
            <w:r w:rsidRPr="00CF6A18">
              <w:rPr>
                <w:rFonts w:ascii="Arial" w:hAnsi="Arial" w:cs="Arial"/>
                <w:sz w:val="24"/>
                <w:szCs w:val="24"/>
              </w:rPr>
              <w:t>上报和</w:t>
            </w:r>
            <w:r w:rsidRPr="00CF6A18">
              <w:rPr>
                <w:rFonts w:ascii="Arial" w:hAnsi="Arial" w:cs="Arial"/>
                <w:sz w:val="24"/>
                <w:szCs w:val="24"/>
              </w:rPr>
              <w:t>HARQ-ACK</w:t>
            </w:r>
            <w:r w:rsidRPr="00CF6A18">
              <w:rPr>
                <w:rFonts w:ascii="Arial" w:hAnsi="Arial" w:cs="Arial"/>
                <w:sz w:val="24"/>
                <w:szCs w:val="24"/>
              </w:rPr>
              <w:t>的碰撞，在</w:t>
            </w:r>
            <w:r w:rsidRPr="00CF6A18">
              <w:rPr>
                <w:rFonts w:ascii="Arial" w:hAnsi="Arial" w:cs="Arial"/>
                <w:sz w:val="24"/>
                <w:szCs w:val="24"/>
              </w:rPr>
              <w:t>PUSCH</w:t>
            </w:r>
            <w:r w:rsidRPr="00CF6A18">
              <w:rPr>
                <w:rFonts w:ascii="Arial" w:hAnsi="Arial" w:cs="Arial"/>
                <w:sz w:val="24"/>
                <w:szCs w:val="24"/>
              </w:rPr>
              <w:t>而不是在</w:t>
            </w:r>
            <w:r w:rsidRPr="00CF6A18">
              <w:rPr>
                <w:rFonts w:ascii="Arial" w:hAnsi="Arial" w:cs="Arial"/>
                <w:sz w:val="24"/>
                <w:szCs w:val="24"/>
              </w:rPr>
              <w:t>PUCCH</w:t>
            </w:r>
            <w:r w:rsidRPr="00CF6A18">
              <w:rPr>
                <w:rFonts w:ascii="Arial" w:hAnsi="Arial" w:cs="Arial"/>
                <w:sz w:val="24"/>
                <w:szCs w:val="24"/>
              </w:rPr>
              <w:t>上报二者是很必要的。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PDCCH DCI </w:t>
            </w:r>
            <w:r w:rsidRPr="00CF6A18">
              <w:rPr>
                <w:rFonts w:ascii="Arial" w:hAnsi="Arial" w:cs="Arial"/>
                <w:sz w:val="24"/>
                <w:szCs w:val="24"/>
              </w:rPr>
              <w:t>格式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 0 </w:t>
            </w:r>
            <w:r w:rsidRPr="00CF6A18">
              <w:rPr>
                <w:rFonts w:ascii="Arial" w:hAnsi="Arial" w:cs="Arial"/>
                <w:sz w:val="24"/>
                <w:szCs w:val="24"/>
              </w:rPr>
              <w:t>应该在下行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 SF#4</w:t>
            </w:r>
            <w:r w:rsidRPr="00CF6A18">
              <w:rPr>
                <w:rFonts w:ascii="Arial" w:hAnsi="Arial" w:cs="Arial"/>
                <w:sz w:val="24"/>
                <w:szCs w:val="24"/>
              </w:rPr>
              <w:t>和</w:t>
            </w:r>
            <w:r w:rsidRPr="00CF6A18">
              <w:rPr>
                <w:rFonts w:ascii="Arial" w:hAnsi="Arial" w:cs="Arial"/>
                <w:sz w:val="24"/>
                <w:szCs w:val="24"/>
              </w:rPr>
              <w:t>#9</w:t>
            </w:r>
            <w:r w:rsidRPr="00CF6A18">
              <w:rPr>
                <w:rFonts w:ascii="Arial" w:hAnsi="Arial" w:cs="Arial"/>
                <w:sz w:val="24"/>
                <w:szCs w:val="24"/>
              </w:rPr>
              <w:t>上发送以允许周期性的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RI </w:t>
            </w:r>
            <w:r w:rsidRPr="00CF6A18">
              <w:rPr>
                <w:rFonts w:ascii="Arial" w:hAnsi="Arial" w:cs="Arial"/>
                <w:sz w:val="24"/>
                <w:szCs w:val="24"/>
              </w:rPr>
              <w:t>与</w:t>
            </w:r>
            <w:r w:rsidRPr="00CF6A18">
              <w:rPr>
                <w:rFonts w:ascii="Arial" w:hAnsi="Arial" w:cs="Arial"/>
                <w:sz w:val="24"/>
                <w:szCs w:val="24"/>
              </w:rPr>
              <w:t>HARQ-ACK</w:t>
            </w:r>
            <w:r w:rsidRPr="00CF6A18">
              <w:rPr>
                <w:rFonts w:ascii="Arial" w:hAnsi="Arial" w:cs="Arial"/>
                <w:sz w:val="24"/>
                <w:szCs w:val="24"/>
              </w:rPr>
              <w:t>在上行子帧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SF#8 </w:t>
            </w:r>
            <w:r w:rsidRPr="00CF6A18">
              <w:rPr>
                <w:rFonts w:ascii="Arial" w:hAnsi="Arial" w:cs="Arial"/>
                <w:sz w:val="24"/>
                <w:szCs w:val="24"/>
              </w:rPr>
              <w:t>和</w:t>
            </w:r>
            <w:r w:rsidRPr="00CF6A18">
              <w:rPr>
                <w:rFonts w:ascii="Arial" w:hAnsi="Arial" w:cs="Arial"/>
                <w:sz w:val="24"/>
                <w:szCs w:val="24"/>
              </w:rPr>
              <w:t>#3</w:t>
            </w:r>
            <w:r w:rsidRPr="00CF6A18">
              <w:rPr>
                <w:rFonts w:ascii="Arial" w:hAnsi="Arial" w:cs="Arial"/>
                <w:sz w:val="24"/>
                <w:szCs w:val="24"/>
              </w:rPr>
              <w:t>的</w:t>
            </w:r>
            <w:r w:rsidRPr="00CF6A18">
              <w:rPr>
                <w:rFonts w:ascii="Arial" w:hAnsi="Arial" w:cs="Arial"/>
                <w:sz w:val="24"/>
                <w:szCs w:val="24"/>
              </w:rPr>
              <w:t>PUSCH</w:t>
            </w:r>
            <w:r w:rsidRPr="00CF6A18">
              <w:rPr>
                <w:rFonts w:ascii="Arial" w:hAnsi="Arial" w:cs="Arial"/>
                <w:sz w:val="24"/>
                <w:szCs w:val="24"/>
              </w:rPr>
              <w:t>上复用。</w:t>
            </w:r>
          </w:p>
        </w:tc>
        <w:tc>
          <w:tcPr>
            <w:tcW w:w="4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 xml:space="preserve">To avoid a crash in between the RI reporting and HARQ-ACK, it is necessary to report both on PUSCH and not on PUCCH. PDCCH DCI format 0 should be transmitted on downlink SF#4 and #9 to allow for cyclical multiplexing of RI and HARQ-ACK on uplink </w:t>
            </w:r>
            <w:proofErr w:type="spellStart"/>
            <w:r w:rsidRPr="00CF6A18">
              <w:rPr>
                <w:rFonts w:ascii="Arial" w:hAnsi="Arial" w:cs="Arial"/>
                <w:sz w:val="24"/>
                <w:szCs w:val="24"/>
              </w:rPr>
              <w:t>subframe</w:t>
            </w:r>
            <w:proofErr w:type="spellEnd"/>
            <w:r w:rsidRPr="00CF6A18">
              <w:rPr>
                <w:rFonts w:ascii="Arial" w:hAnsi="Arial" w:cs="Arial"/>
                <w:sz w:val="24"/>
                <w:szCs w:val="24"/>
              </w:rPr>
              <w:t xml:space="preserve"> SF#8 and #3.</w:t>
            </w:r>
          </w:p>
        </w:tc>
      </w:tr>
      <w:tr w:rsidR="00CF6A18" w:rsidRPr="00CF6A18" w:rsidTr="00CF6A18">
        <w:trPr>
          <w:trHeight w:val="900"/>
        </w:trPr>
        <w:tc>
          <w:tcPr>
            <w:tcW w:w="6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DCI</w:t>
            </w:r>
            <w:r w:rsidRPr="00CF6A18">
              <w:rPr>
                <w:rFonts w:ascii="Arial" w:hAnsi="Arial" w:cs="Arial"/>
                <w:sz w:val="24"/>
                <w:szCs w:val="24"/>
              </w:rPr>
              <w:t>格式</w:t>
            </w:r>
            <w:r w:rsidRPr="00CF6A18">
              <w:rPr>
                <w:rFonts w:ascii="Arial" w:hAnsi="Arial" w:cs="Arial"/>
                <w:sz w:val="24"/>
                <w:szCs w:val="24"/>
              </w:rPr>
              <w:t>2</w:t>
            </w:r>
            <w:r w:rsidRPr="00CF6A18">
              <w:rPr>
                <w:rFonts w:ascii="Arial" w:hAnsi="Arial" w:cs="Arial"/>
                <w:sz w:val="24"/>
                <w:szCs w:val="24"/>
              </w:rPr>
              <w:t>的预编码信息位应该按如下方式映射：</w:t>
            </w:r>
          </w:p>
        </w:tc>
        <w:tc>
          <w:tcPr>
            <w:tcW w:w="4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6A18">
              <w:rPr>
                <w:rFonts w:ascii="Arial" w:hAnsi="Arial" w:cs="Arial"/>
                <w:sz w:val="24"/>
                <w:szCs w:val="24"/>
              </w:rPr>
              <w:t>Precoding</w:t>
            </w:r>
            <w:proofErr w:type="spellEnd"/>
            <w:r w:rsidRPr="00CF6A18">
              <w:rPr>
                <w:rFonts w:ascii="Arial" w:hAnsi="Arial" w:cs="Arial"/>
                <w:sz w:val="24"/>
                <w:szCs w:val="24"/>
              </w:rPr>
              <w:t xml:space="preserve"> contents of DCI format 2 should follow the mapping instructions as below:</w:t>
            </w:r>
          </w:p>
        </w:tc>
      </w:tr>
      <w:tr w:rsidR="00CF6A18" w:rsidRPr="00CF6A18" w:rsidTr="00CF6A18">
        <w:trPr>
          <w:trHeight w:val="600"/>
        </w:trPr>
        <w:tc>
          <w:tcPr>
            <w:tcW w:w="6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对于上报的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 RI = 1 </w:t>
            </w:r>
            <w:r w:rsidRPr="00CF6A18">
              <w:rPr>
                <w:rFonts w:ascii="Arial" w:hAnsi="Arial" w:cs="Arial"/>
                <w:sz w:val="24"/>
                <w:szCs w:val="24"/>
              </w:rPr>
              <w:t>和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 PMI = 0 &gt;&gt; </w:t>
            </w:r>
            <w:r w:rsidRPr="00CF6A18">
              <w:rPr>
                <w:rFonts w:ascii="Arial" w:hAnsi="Arial" w:cs="Arial"/>
                <w:sz w:val="24"/>
                <w:szCs w:val="24"/>
              </w:rPr>
              <w:t>预编码信息位索引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 = 1</w:t>
            </w:r>
          </w:p>
        </w:tc>
        <w:tc>
          <w:tcPr>
            <w:tcW w:w="4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 xml:space="preserve">For reported RI = 1 and PMI = 0 &gt;&gt; </w:t>
            </w:r>
            <w:proofErr w:type="spellStart"/>
            <w:r w:rsidRPr="00CF6A18">
              <w:rPr>
                <w:rFonts w:ascii="Arial" w:hAnsi="Arial" w:cs="Arial"/>
                <w:sz w:val="24"/>
                <w:szCs w:val="24"/>
              </w:rPr>
              <w:t>precoding</w:t>
            </w:r>
            <w:proofErr w:type="spellEnd"/>
            <w:r w:rsidRPr="00CF6A18">
              <w:rPr>
                <w:rFonts w:ascii="Arial" w:hAnsi="Arial" w:cs="Arial"/>
                <w:sz w:val="24"/>
                <w:szCs w:val="24"/>
              </w:rPr>
              <w:t xml:space="preserve"> content index = 1</w:t>
            </w:r>
          </w:p>
        </w:tc>
      </w:tr>
      <w:tr w:rsidR="00CF6A18" w:rsidRPr="00CF6A18" w:rsidTr="00CF6A18">
        <w:trPr>
          <w:trHeight w:val="600"/>
        </w:trPr>
        <w:tc>
          <w:tcPr>
            <w:tcW w:w="6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对于上报的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 RI = 1 </w:t>
            </w:r>
            <w:r w:rsidRPr="00CF6A18">
              <w:rPr>
                <w:rFonts w:ascii="Arial" w:hAnsi="Arial" w:cs="Arial"/>
                <w:sz w:val="24"/>
                <w:szCs w:val="24"/>
              </w:rPr>
              <w:t>和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 PMI = 1 &gt;&gt; </w:t>
            </w:r>
            <w:r w:rsidRPr="00CF6A18">
              <w:rPr>
                <w:rFonts w:ascii="Arial" w:hAnsi="Arial" w:cs="Arial"/>
                <w:sz w:val="24"/>
                <w:szCs w:val="24"/>
              </w:rPr>
              <w:t>预编码信息位索引</w:t>
            </w:r>
            <w:r w:rsidRPr="00CF6A18">
              <w:rPr>
                <w:rFonts w:ascii="Arial" w:hAnsi="Arial" w:cs="Arial"/>
                <w:sz w:val="24"/>
                <w:szCs w:val="24"/>
              </w:rPr>
              <w:t>= 2</w:t>
            </w:r>
          </w:p>
        </w:tc>
        <w:tc>
          <w:tcPr>
            <w:tcW w:w="4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 xml:space="preserve">For reported RI = 1 and PMI = 1 &gt;&gt; </w:t>
            </w:r>
            <w:proofErr w:type="spellStart"/>
            <w:r w:rsidRPr="00CF6A18">
              <w:rPr>
                <w:rFonts w:ascii="Arial" w:hAnsi="Arial" w:cs="Arial"/>
                <w:sz w:val="24"/>
                <w:szCs w:val="24"/>
              </w:rPr>
              <w:t>precoding</w:t>
            </w:r>
            <w:proofErr w:type="spellEnd"/>
            <w:r w:rsidRPr="00CF6A18">
              <w:rPr>
                <w:rFonts w:ascii="Arial" w:hAnsi="Arial" w:cs="Arial"/>
                <w:sz w:val="24"/>
                <w:szCs w:val="24"/>
              </w:rPr>
              <w:t xml:space="preserve"> content index = 2</w:t>
            </w:r>
          </w:p>
        </w:tc>
      </w:tr>
      <w:tr w:rsidR="00CF6A18" w:rsidRPr="00CF6A18" w:rsidTr="00CF6A18">
        <w:trPr>
          <w:trHeight w:val="600"/>
        </w:trPr>
        <w:tc>
          <w:tcPr>
            <w:tcW w:w="6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对于上报的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 RI = 2 </w:t>
            </w:r>
            <w:r w:rsidRPr="00CF6A18">
              <w:rPr>
                <w:rFonts w:ascii="Arial" w:hAnsi="Arial" w:cs="Arial"/>
                <w:sz w:val="24"/>
                <w:szCs w:val="24"/>
              </w:rPr>
              <w:t>和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 PMI = 0 &gt;&gt; </w:t>
            </w:r>
            <w:r w:rsidRPr="00CF6A18">
              <w:rPr>
                <w:rFonts w:ascii="Arial" w:hAnsi="Arial" w:cs="Arial"/>
                <w:sz w:val="24"/>
                <w:szCs w:val="24"/>
              </w:rPr>
              <w:t>预编码信息位索引</w:t>
            </w:r>
            <w:r w:rsidRPr="00CF6A18">
              <w:rPr>
                <w:rFonts w:ascii="Arial" w:hAnsi="Arial" w:cs="Arial"/>
                <w:sz w:val="24"/>
                <w:szCs w:val="24"/>
              </w:rPr>
              <w:t>= 0</w:t>
            </w:r>
          </w:p>
        </w:tc>
        <w:tc>
          <w:tcPr>
            <w:tcW w:w="4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 xml:space="preserve">For reported RI = 2 and PMI = 0 &gt;&gt; </w:t>
            </w:r>
            <w:proofErr w:type="spellStart"/>
            <w:r w:rsidRPr="00CF6A18">
              <w:rPr>
                <w:rFonts w:ascii="Arial" w:hAnsi="Arial" w:cs="Arial"/>
                <w:sz w:val="24"/>
                <w:szCs w:val="24"/>
              </w:rPr>
              <w:t>precoding</w:t>
            </w:r>
            <w:proofErr w:type="spellEnd"/>
            <w:r w:rsidRPr="00CF6A18">
              <w:rPr>
                <w:rFonts w:ascii="Arial" w:hAnsi="Arial" w:cs="Arial"/>
                <w:sz w:val="24"/>
                <w:szCs w:val="24"/>
              </w:rPr>
              <w:t xml:space="preserve"> content index = 0</w:t>
            </w:r>
          </w:p>
        </w:tc>
      </w:tr>
      <w:tr w:rsidR="00CF6A18" w:rsidRPr="00CF6A18" w:rsidTr="00CF6A18">
        <w:trPr>
          <w:trHeight w:val="1800"/>
        </w:trPr>
        <w:tc>
          <w:tcPr>
            <w:tcW w:w="6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lastRenderedPageBreak/>
              <w:t>为了避免在级别转换时，</w:t>
            </w:r>
            <w:r w:rsidRPr="00CF6A18">
              <w:rPr>
                <w:rFonts w:ascii="Arial" w:hAnsi="Arial" w:cs="Arial"/>
                <w:sz w:val="24"/>
                <w:szCs w:val="24"/>
              </w:rPr>
              <w:t>SS</w:t>
            </w:r>
            <w:r w:rsidRPr="00CF6A18">
              <w:rPr>
                <w:rFonts w:ascii="Arial" w:hAnsi="Arial" w:cs="Arial"/>
                <w:sz w:val="24"/>
                <w:szCs w:val="24"/>
              </w:rPr>
              <w:t>使用</w:t>
            </w:r>
            <w:r w:rsidRPr="00CF6A18">
              <w:rPr>
                <w:rFonts w:ascii="Arial" w:hAnsi="Arial" w:cs="Arial"/>
                <w:sz w:val="24"/>
                <w:szCs w:val="24"/>
              </w:rPr>
              <w:t>CQI</w:t>
            </w:r>
            <w:r w:rsidRPr="00CF6A18">
              <w:rPr>
                <w:rFonts w:ascii="Arial" w:hAnsi="Arial" w:cs="Arial"/>
                <w:sz w:val="24"/>
                <w:szCs w:val="24"/>
              </w:rPr>
              <w:t>和</w:t>
            </w:r>
            <w:r w:rsidRPr="00CF6A18">
              <w:rPr>
                <w:rFonts w:ascii="Arial" w:hAnsi="Arial" w:cs="Arial"/>
                <w:sz w:val="24"/>
                <w:szCs w:val="24"/>
              </w:rPr>
              <w:t>PMI</w:t>
            </w:r>
            <w:r w:rsidRPr="00CF6A18">
              <w:rPr>
                <w:rFonts w:ascii="Arial" w:hAnsi="Arial" w:cs="Arial"/>
                <w:sz w:val="24"/>
                <w:szCs w:val="24"/>
              </w:rPr>
              <w:t>的行为的不确定性，在注</w:t>
            </w:r>
            <w:r w:rsidRPr="00CF6A18">
              <w:rPr>
                <w:rFonts w:ascii="Arial" w:hAnsi="Arial" w:cs="Arial"/>
                <w:sz w:val="24"/>
                <w:szCs w:val="24"/>
              </w:rPr>
              <w:t>1</w:t>
            </w:r>
            <w:r w:rsidRPr="00CF6A18">
              <w:rPr>
                <w:rFonts w:ascii="Arial" w:hAnsi="Arial" w:cs="Arial"/>
                <w:sz w:val="24"/>
                <w:szCs w:val="24"/>
              </w:rPr>
              <w:t>基础上，</w:t>
            </w:r>
            <w:r w:rsidRPr="00CF6A18">
              <w:rPr>
                <w:rFonts w:ascii="Arial" w:hAnsi="Arial" w:cs="Arial"/>
                <w:sz w:val="24"/>
                <w:szCs w:val="24"/>
              </w:rPr>
              <w:t>SS</w:t>
            </w:r>
            <w:r w:rsidRPr="00CF6A18">
              <w:rPr>
                <w:rFonts w:ascii="Arial" w:hAnsi="Arial" w:cs="Arial"/>
                <w:sz w:val="24"/>
                <w:szCs w:val="24"/>
              </w:rPr>
              <w:t>应该比使用</w:t>
            </w:r>
            <w:r w:rsidRPr="00CF6A18">
              <w:rPr>
                <w:rFonts w:ascii="Arial" w:hAnsi="Arial" w:cs="Arial"/>
                <w:sz w:val="24"/>
                <w:szCs w:val="24"/>
              </w:rPr>
              <w:t>CQI</w:t>
            </w:r>
            <w:r w:rsidRPr="00CF6A18">
              <w:rPr>
                <w:rFonts w:ascii="Arial" w:hAnsi="Arial" w:cs="Arial"/>
                <w:sz w:val="24"/>
                <w:szCs w:val="24"/>
              </w:rPr>
              <w:t>和</w:t>
            </w:r>
            <w:r w:rsidRPr="00CF6A18">
              <w:rPr>
                <w:rFonts w:ascii="Arial" w:hAnsi="Arial" w:cs="Arial"/>
                <w:sz w:val="24"/>
                <w:szCs w:val="24"/>
              </w:rPr>
              <w:t>PMI</w:t>
            </w:r>
            <w:r w:rsidRPr="00CF6A18">
              <w:rPr>
                <w:rFonts w:ascii="Arial" w:hAnsi="Arial" w:cs="Arial"/>
                <w:sz w:val="24"/>
                <w:szCs w:val="24"/>
              </w:rPr>
              <w:t>报告晚一个子帧使用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RI </w:t>
            </w:r>
            <w:r w:rsidRPr="00CF6A18">
              <w:rPr>
                <w:rFonts w:ascii="Arial" w:hAnsi="Arial" w:cs="Arial"/>
                <w:sz w:val="24"/>
                <w:szCs w:val="24"/>
              </w:rPr>
              <w:t>报告。</w:t>
            </w:r>
          </w:p>
        </w:tc>
        <w:tc>
          <w:tcPr>
            <w:tcW w:w="4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 xml:space="preserve">To avoid inconsistency in behavior of the SS when using CQI and PMI during the level switching, based on Note 1, the SS should use the RI reporting at one </w:t>
            </w:r>
            <w:proofErr w:type="spellStart"/>
            <w:r w:rsidRPr="00CF6A18">
              <w:rPr>
                <w:rFonts w:ascii="Arial" w:hAnsi="Arial" w:cs="Arial"/>
                <w:sz w:val="24"/>
                <w:szCs w:val="24"/>
              </w:rPr>
              <w:t>subframe</w:t>
            </w:r>
            <w:proofErr w:type="spellEnd"/>
            <w:r w:rsidRPr="00CF6A18">
              <w:rPr>
                <w:rFonts w:ascii="Arial" w:hAnsi="Arial" w:cs="Arial"/>
                <w:sz w:val="24"/>
                <w:szCs w:val="24"/>
              </w:rPr>
              <w:t xml:space="preserve"> later than when using the CQI and PMI reporting.</w:t>
            </w:r>
          </w:p>
        </w:tc>
      </w:tr>
    </w:tbl>
    <w:p w:rsidR="00CF6A18" w:rsidRDefault="00CB5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CF6A18" w:rsidRDefault="00CB5BB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CF6A18">
        <w:rPr>
          <w:rFonts w:ascii="Arial" w:hAnsi="Arial" w:cs="Arial"/>
          <w:sz w:val="24"/>
          <w:szCs w:val="24"/>
        </w:rPr>
        <w:instrText xml:space="preserve"> LINK </w:instrText>
      </w:r>
      <w:r w:rsidR="00D833FE">
        <w:rPr>
          <w:rFonts w:ascii="Arial" w:hAnsi="Arial" w:cs="Arial"/>
          <w:sz w:val="24"/>
          <w:szCs w:val="24"/>
        </w:rPr>
        <w:instrText xml:space="preserve">Excel.Sheet.8 C:\\Users\\tidurman\\Downloads\\MH80-NM066-7SC_B-part4(translated).xlsx Sheet1!R107C1:R110C2 </w:instrText>
      </w:r>
      <w:r w:rsidR="00CF6A18">
        <w:rPr>
          <w:rFonts w:ascii="Arial" w:hAnsi="Arial" w:cs="Arial"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leGrid"/>
        <w:tblW w:w="10120" w:type="dxa"/>
        <w:tblInd w:w="-368" w:type="dxa"/>
        <w:tblLook w:val="04A0"/>
      </w:tblPr>
      <w:tblGrid>
        <w:gridCol w:w="6060"/>
        <w:gridCol w:w="4060"/>
      </w:tblGrid>
      <w:tr w:rsidR="00CF6A18" w:rsidRPr="00CF6A18" w:rsidTr="00CF6A18">
        <w:trPr>
          <w:trHeight w:val="1800"/>
        </w:trPr>
        <w:tc>
          <w:tcPr>
            <w:tcW w:w="6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如果最大输出功率超标将有可能会干扰其他信道或者其他系统，而最大输出功率减小会降低覆盖范围。</w:t>
            </w:r>
          </w:p>
        </w:tc>
        <w:tc>
          <w:tcPr>
            <w:tcW w:w="4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 xml:space="preserve">If the Maximum Power Output exceeds the set range, there is a possibility of interferences caused to other channels or systems while lowering the </w:t>
            </w:r>
            <w:proofErr w:type="spellStart"/>
            <w:r w:rsidRPr="00CF6A18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CF6A18">
              <w:rPr>
                <w:rFonts w:ascii="Arial" w:hAnsi="Arial" w:cs="Arial"/>
                <w:sz w:val="24"/>
                <w:szCs w:val="24"/>
              </w:rPr>
              <w:t xml:space="preserve"> Maximum Power Output will reduce its coverage.</w:t>
            </w:r>
          </w:p>
        </w:tc>
      </w:tr>
      <w:tr w:rsidR="00CF6A18" w:rsidRPr="00CF6A18" w:rsidTr="00CF6A18">
        <w:trPr>
          <w:trHeight w:val="2700"/>
        </w:trPr>
        <w:tc>
          <w:tcPr>
            <w:tcW w:w="6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以上的偏差适用于支持不多于</w:t>
            </w:r>
            <w:r w:rsidRPr="00CF6A18">
              <w:rPr>
                <w:rFonts w:ascii="Arial" w:hAnsi="Arial" w:cs="Arial"/>
                <w:sz w:val="24"/>
                <w:szCs w:val="24"/>
              </w:rPr>
              <w:t>4</w:t>
            </w:r>
            <w:r w:rsidRPr="00CF6A18">
              <w:rPr>
                <w:rFonts w:ascii="Arial" w:hAnsi="Arial" w:cs="Arial"/>
                <w:sz w:val="24"/>
                <w:szCs w:val="24"/>
              </w:rPr>
              <w:t>个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E-UTRA </w:t>
            </w:r>
            <w:r w:rsidRPr="00CF6A18">
              <w:rPr>
                <w:rFonts w:ascii="Arial" w:hAnsi="Arial" w:cs="Arial"/>
                <w:sz w:val="24"/>
                <w:szCs w:val="24"/>
              </w:rPr>
              <w:t>工作频带的用户终端设备。支持</w:t>
            </w:r>
            <w:r w:rsidRPr="00CF6A18">
              <w:rPr>
                <w:rFonts w:ascii="Arial" w:hAnsi="Arial" w:cs="Arial"/>
                <w:sz w:val="24"/>
                <w:szCs w:val="24"/>
              </w:rPr>
              <w:t>5</w:t>
            </w:r>
            <w:r w:rsidRPr="00CF6A18">
              <w:rPr>
                <w:rFonts w:ascii="Arial" w:hAnsi="Arial" w:cs="Arial"/>
                <w:sz w:val="24"/>
                <w:szCs w:val="24"/>
              </w:rPr>
              <w:t>个及以上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E-UTRA </w:t>
            </w:r>
            <w:r w:rsidRPr="00CF6A18">
              <w:rPr>
                <w:rFonts w:ascii="Arial" w:hAnsi="Arial" w:cs="Arial"/>
                <w:sz w:val="24"/>
                <w:szCs w:val="24"/>
              </w:rPr>
              <w:t>工作频带的用户终端设备，每增加一个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E-UTRA </w:t>
            </w:r>
            <w:r w:rsidRPr="00CF6A18">
              <w:rPr>
                <w:rFonts w:ascii="Arial" w:hAnsi="Arial" w:cs="Arial"/>
                <w:sz w:val="24"/>
                <w:szCs w:val="24"/>
              </w:rPr>
              <w:t>工作频带，其最大输出功率应该随之下降，具体待后续研究。</w:t>
            </w:r>
          </w:p>
        </w:tc>
        <w:tc>
          <w:tcPr>
            <w:tcW w:w="4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The deviation above is applicable to User Equipment supporting not more than 4 E-UTRA operating bands. For the User Equipments supporting 5 or more E-UTRA operating bands, for every increase in numbers of the E-UTRA operating band, the maximum power output should be decreased accordingly. Specifications research to be continued later.</w:t>
            </w:r>
          </w:p>
        </w:tc>
      </w:tr>
      <w:tr w:rsidR="00CF6A18" w:rsidRPr="00CF6A18" w:rsidTr="00CF6A18">
        <w:trPr>
          <w:trHeight w:val="3900"/>
        </w:trPr>
        <w:tc>
          <w:tcPr>
            <w:tcW w:w="6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初始测试配置包含环境条件，测试频率和在表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5.4.2.1-1 </w:t>
            </w:r>
            <w:r w:rsidRPr="00CF6A18">
              <w:rPr>
                <w:rFonts w:ascii="Arial" w:hAnsi="Arial" w:cs="Arial"/>
                <w:sz w:val="24"/>
                <w:szCs w:val="24"/>
              </w:rPr>
              <w:t>中规定的基于</w:t>
            </w:r>
            <w:r w:rsidRPr="00CF6A18">
              <w:rPr>
                <w:rFonts w:ascii="Arial" w:hAnsi="Arial" w:cs="Arial"/>
                <w:sz w:val="24"/>
                <w:szCs w:val="24"/>
              </w:rPr>
              <w:t>E-UTRA</w:t>
            </w:r>
            <w:r w:rsidRPr="00CF6A18">
              <w:rPr>
                <w:rFonts w:ascii="Arial" w:hAnsi="Arial" w:cs="Arial"/>
                <w:sz w:val="24"/>
                <w:szCs w:val="24"/>
              </w:rPr>
              <w:t>工作频带的信道带宽。所有的这些配置都应该通过适用于每个信道带宽的测试参数的测试，如表</w:t>
            </w:r>
            <w:r w:rsidRPr="00CF6A18">
              <w:rPr>
                <w:rFonts w:ascii="Arial" w:hAnsi="Arial" w:cs="Arial"/>
                <w:sz w:val="24"/>
                <w:szCs w:val="24"/>
              </w:rPr>
              <w:t>6.2.2.4.1-1</w:t>
            </w:r>
            <w:r w:rsidRPr="00CF6A18">
              <w:rPr>
                <w:rFonts w:ascii="Arial" w:hAnsi="Arial" w:cs="Arial"/>
                <w:sz w:val="24"/>
                <w:szCs w:val="24"/>
              </w:rPr>
              <w:t>所示。上行参考测试信道（</w:t>
            </w:r>
            <w:r w:rsidRPr="00CF6A18">
              <w:rPr>
                <w:rFonts w:ascii="Arial" w:hAnsi="Arial" w:cs="Arial"/>
                <w:sz w:val="24"/>
                <w:szCs w:val="24"/>
              </w:rPr>
              <w:t>RMCS</w:t>
            </w:r>
            <w:r w:rsidRPr="00CF6A18">
              <w:rPr>
                <w:rFonts w:ascii="Arial" w:hAnsi="Arial" w:cs="Arial"/>
                <w:sz w:val="24"/>
                <w:szCs w:val="24"/>
              </w:rPr>
              <w:t>）的细节见</w:t>
            </w:r>
            <w:r w:rsidRPr="00CF6A18">
              <w:rPr>
                <w:rFonts w:ascii="Arial" w:hAnsi="Arial" w:cs="Arial"/>
                <w:sz w:val="24"/>
                <w:szCs w:val="24"/>
              </w:rPr>
              <w:t>3GPP TS36.521-1</w:t>
            </w:r>
            <w:r w:rsidRPr="00CF6A18">
              <w:rPr>
                <w:rFonts w:ascii="Arial" w:hAnsi="Arial" w:cs="Arial"/>
                <w:sz w:val="24"/>
                <w:szCs w:val="24"/>
              </w:rPr>
              <w:t>附录</w:t>
            </w:r>
            <w:r w:rsidRPr="00CF6A18">
              <w:rPr>
                <w:rFonts w:ascii="Arial" w:hAnsi="Arial" w:cs="Arial"/>
                <w:sz w:val="24"/>
                <w:szCs w:val="24"/>
              </w:rPr>
              <w:t>A.2</w:t>
            </w:r>
            <w:r w:rsidRPr="00CF6A18">
              <w:rPr>
                <w:rFonts w:ascii="Arial" w:hAnsi="Arial" w:cs="Arial"/>
                <w:sz w:val="24"/>
                <w:szCs w:val="24"/>
              </w:rPr>
              <w:t>。在测量之前</w:t>
            </w:r>
            <w:r w:rsidRPr="00CF6A18">
              <w:rPr>
                <w:rFonts w:ascii="Arial" w:hAnsi="Arial" w:cs="Arial"/>
                <w:sz w:val="24"/>
                <w:szCs w:val="24"/>
              </w:rPr>
              <w:t>PDSCH</w:t>
            </w:r>
            <w:r w:rsidRPr="00CF6A18">
              <w:rPr>
                <w:rFonts w:ascii="Arial" w:hAnsi="Arial" w:cs="Arial"/>
                <w:sz w:val="24"/>
                <w:szCs w:val="24"/>
              </w:rPr>
              <w:t>和</w:t>
            </w:r>
            <w:r w:rsidRPr="00CF6A18">
              <w:rPr>
                <w:rFonts w:ascii="Arial" w:hAnsi="Arial" w:cs="Arial"/>
                <w:sz w:val="24"/>
                <w:szCs w:val="24"/>
              </w:rPr>
              <w:t>PDCCH</w:t>
            </w:r>
            <w:r w:rsidRPr="00CF6A18">
              <w:rPr>
                <w:rFonts w:ascii="Arial" w:hAnsi="Arial" w:cs="Arial"/>
                <w:sz w:val="24"/>
                <w:szCs w:val="24"/>
              </w:rPr>
              <w:t>的配置见</w:t>
            </w:r>
            <w:r w:rsidRPr="00CF6A18">
              <w:rPr>
                <w:rFonts w:ascii="Arial" w:hAnsi="Arial" w:cs="Arial"/>
                <w:sz w:val="24"/>
                <w:szCs w:val="24"/>
              </w:rPr>
              <w:t>3GPP TS36.521-1</w:t>
            </w:r>
            <w:r w:rsidRPr="00CF6A18">
              <w:rPr>
                <w:rFonts w:ascii="Arial" w:hAnsi="Arial" w:cs="Arial"/>
                <w:sz w:val="24"/>
                <w:szCs w:val="24"/>
              </w:rPr>
              <w:t>附录</w:t>
            </w:r>
            <w:r w:rsidRPr="00CF6A18">
              <w:rPr>
                <w:rFonts w:ascii="Arial" w:hAnsi="Arial" w:cs="Arial"/>
                <w:sz w:val="24"/>
                <w:szCs w:val="24"/>
              </w:rPr>
              <w:t>C.2</w:t>
            </w:r>
            <w:r w:rsidRPr="00CF6A18">
              <w:rPr>
                <w:rFonts w:ascii="Arial" w:hAnsi="Arial" w:cs="Arial"/>
                <w:sz w:val="24"/>
                <w:szCs w:val="24"/>
              </w:rPr>
              <w:t>。</w:t>
            </w:r>
          </w:p>
        </w:tc>
        <w:tc>
          <w:tcPr>
            <w:tcW w:w="4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Initial tests configurations includes setting conditions, test frequency and channel bandwidth based on E-UTRA operating band as stated in Table 5.4.2.1-1. All of the above configurations should have passed the parameters test for compatibility with every channel bandwidth, as shown in Table 6.2.2.4.1-1. Refer to 3GPP TS 36.521-1 Appendix A.2 for the details of RMCS. For the configurations of PDSCH and PDCCH before test, refer to 3GPP TS 36.521-1 Appendix C.2.</w:t>
            </w:r>
          </w:p>
        </w:tc>
      </w:tr>
      <w:tr w:rsidR="00CF6A18" w:rsidRPr="00CF6A18" w:rsidTr="00CF6A18">
        <w:trPr>
          <w:trHeight w:val="900"/>
        </w:trPr>
        <w:tc>
          <w:tcPr>
            <w:tcW w:w="6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>如果测试信道带宽大于</w:t>
            </w:r>
            <w:r w:rsidRPr="00CF6A18">
              <w:rPr>
                <w:rFonts w:ascii="Arial" w:hAnsi="Arial" w:cs="Arial"/>
                <w:sz w:val="24"/>
                <w:szCs w:val="24"/>
              </w:rPr>
              <w:t>4MHz,</w:t>
            </w:r>
            <w:r w:rsidRPr="00CF6A18">
              <w:rPr>
                <w:rFonts w:ascii="Arial" w:hAnsi="Arial" w:cs="Arial"/>
                <w:sz w:val="24"/>
                <w:szCs w:val="24"/>
              </w:rPr>
              <w:t>那么应该在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RB #0 </w:t>
            </w:r>
            <w:r w:rsidRPr="00CF6A18">
              <w:rPr>
                <w:rFonts w:ascii="Arial" w:hAnsi="Arial" w:cs="Arial"/>
                <w:sz w:val="24"/>
                <w:szCs w:val="24"/>
              </w:rPr>
              <w:t>和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 RB #max </w:t>
            </w:r>
            <w:r w:rsidRPr="00CF6A18">
              <w:rPr>
                <w:rFonts w:ascii="Arial" w:hAnsi="Arial" w:cs="Arial"/>
                <w:sz w:val="24"/>
                <w:szCs w:val="24"/>
              </w:rPr>
              <w:t>处测试</w:t>
            </w:r>
            <w:r w:rsidRPr="00CF6A18">
              <w:rPr>
                <w:rFonts w:ascii="Arial" w:hAnsi="Arial" w:cs="Arial"/>
                <w:sz w:val="24"/>
                <w:szCs w:val="24"/>
              </w:rPr>
              <w:t xml:space="preserve">1 RB </w:t>
            </w:r>
            <w:r w:rsidRPr="00CF6A18">
              <w:rPr>
                <w:rFonts w:ascii="Arial" w:hAnsi="Arial" w:cs="Arial"/>
                <w:sz w:val="24"/>
                <w:szCs w:val="24"/>
              </w:rPr>
              <w:t>分配。</w:t>
            </w:r>
          </w:p>
        </w:tc>
        <w:tc>
          <w:tcPr>
            <w:tcW w:w="4060" w:type="dxa"/>
            <w:hideMark/>
          </w:tcPr>
          <w:p w:rsidR="00CF6A18" w:rsidRPr="00CF6A18" w:rsidRDefault="00CF6A18" w:rsidP="00C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6A18">
              <w:rPr>
                <w:rFonts w:ascii="Arial" w:hAnsi="Arial" w:cs="Arial"/>
                <w:sz w:val="24"/>
                <w:szCs w:val="24"/>
              </w:rPr>
              <w:t xml:space="preserve">If the test channel bandwidth is more </w:t>
            </w:r>
            <w:proofErr w:type="spellStart"/>
            <w:r w:rsidRPr="00CF6A18">
              <w:rPr>
                <w:rFonts w:ascii="Arial" w:hAnsi="Arial" w:cs="Arial"/>
                <w:sz w:val="24"/>
                <w:szCs w:val="24"/>
              </w:rPr>
              <w:t>then</w:t>
            </w:r>
            <w:proofErr w:type="spellEnd"/>
            <w:r w:rsidRPr="00CF6A18">
              <w:rPr>
                <w:rFonts w:ascii="Arial" w:hAnsi="Arial" w:cs="Arial"/>
                <w:sz w:val="24"/>
                <w:szCs w:val="24"/>
              </w:rPr>
              <w:t xml:space="preserve"> 4MHz, test 1RB allocation at RB#0 and </w:t>
            </w:r>
            <w:proofErr w:type="spellStart"/>
            <w:r w:rsidRPr="00CF6A18">
              <w:rPr>
                <w:rFonts w:ascii="Arial" w:hAnsi="Arial" w:cs="Arial"/>
                <w:sz w:val="24"/>
                <w:szCs w:val="24"/>
              </w:rPr>
              <w:t>RB#max</w:t>
            </w:r>
            <w:proofErr w:type="spellEnd"/>
            <w:r w:rsidRPr="00CF6A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F6A18" w:rsidRPr="00CF6A18" w:rsidRDefault="00CB5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sectPr w:rsidR="00CF6A18" w:rsidRPr="00CF6A18" w:rsidSect="00CB5B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0931"/>
    <w:rsid w:val="00616B1B"/>
    <w:rsid w:val="00970931"/>
    <w:rsid w:val="00CB5BB0"/>
    <w:rsid w:val="00CF6A18"/>
    <w:rsid w:val="00D8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B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tidurman</dc:creator>
  <cp:lastModifiedBy>tidurman</cp:lastModifiedBy>
  <cp:revision>3</cp:revision>
  <dcterms:created xsi:type="dcterms:W3CDTF">2014-03-30T01:16:00Z</dcterms:created>
  <dcterms:modified xsi:type="dcterms:W3CDTF">2016-01-30T06:19:00Z</dcterms:modified>
</cp:coreProperties>
</file>