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5634" w:rsidRDefault="00755634">
      <w:pPr>
        <w:pStyle w:val="normal0"/>
        <w:spacing w:after="200" w:line="276" w:lineRule="auto"/>
        <w:contextualSpacing w:val="0"/>
      </w:pPr>
    </w:p>
    <w:tbl>
      <w:tblPr>
        <w:tblW w:w="1029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80"/>
        <w:gridCol w:w="7916"/>
      </w:tblGrid>
      <w:tr w:rsidR="0075563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55634" w:rsidRDefault="00755634">
            <w:pPr>
              <w:pStyle w:val="normal0"/>
              <w:spacing w:after="0"/>
              <w:contextualSpacing w:val="0"/>
            </w:pPr>
          </w:p>
        </w:tc>
        <w:tc>
          <w:tcPr>
            <w:tcW w:w="7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55634" w:rsidRDefault="00607228">
            <w:pPr>
              <w:pStyle w:val="normal0"/>
              <w:spacing w:before="100" w:after="100"/>
              <w:contextualSpacing w:val="0"/>
            </w:pPr>
            <w:r>
              <w:rPr>
                <w:b/>
                <w:color w:val="DD8047"/>
                <w:sz w:val="24"/>
              </w:rPr>
              <w:t>Rogeria Pereira</w:t>
            </w:r>
            <w:r>
              <w:rPr>
                <w:b/>
                <w:color w:val="DD8047"/>
                <w:sz w:val="24"/>
              </w:rPr>
              <w:br/>
              <w:t xml:space="preserve">En–Sp </w:t>
            </w:r>
            <w:r>
              <w:rPr>
                <w:b/>
                <w:color w:val="DD8047"/>
                <w:sz w:val="24"/>
              </w:rPr>
              <w:t> Br-Pt Translator</w:t>
            </w:r>
          </w:p>
        </w:tc>
      </w:tr>
      <w:tr w:rsidR="0075563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3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55634" w:rsidRDefault="00607228">
            <w:pPr>
              <w:pStyle w:val="normal0"/>
              <w:spacing w:after="0" w:line="240" w:lineRule="auto"/>
              <w:contextualSpacing w:val="0"/>
            </w:pPr>
            <w:r>
              <w:rPr>
                <w:b/>
                <w:color w:val="FFFFFF"/>
              </w:rPr>
              <w:t>[Jan 2012]</w:t>
            </w:r>
          </w:p>
        </w:tc>
        <w:tc>
          <w:tcPr>
            <w:tcW w:w="7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55634" w:rsidRDefault="00607228">
            <w:pPr>
              <w:pStyle w:val="normal0"/>
              <w:contextualSpacing w:val="0"/>
            </w:pPr>
            <w:r>
              <w:rPr>
                <w:b/>
                <w:color w:val="DD8047"/>
                <w:sz w:val="24"/>
              </w:rPr>
              <w:t>Personal information</w:t>
            </w:r>
          </w:p>
        </w:tc>
      </w:tr>
      <w:tr w:rsidR="00755634" w:rsidRPr="009B77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55634" w:rsidRDefault="00607228">
            <w:pPr>
              <w:pStyle w:val="normal0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1060" cy="1407160"/>
                  <wp:effectExtent l="0" t="0" r="0" b="0"/>
                  <wp:docPr id="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40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55634" w:rsidRDefault="00607228">
            <w:pPr>
              <w:pStyle w:val="normal0"/>
              <w:contextualSpacing w:val="0"/>
            </w:pPr>
            <w:r>
              <w:rPr>
                <w:b/>
              </w:rPr>
              <w:br/>
            </w:r>
          </w:p>
          <w:p w:rsidR="00755634" w:rsidRPr="009B773C" w:rsidRDefault="00607228" w:rsidP="009B773C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b/>
                <w:lang w:val="en-US"/>
              </w:rPr>
              <w:t xml:space="preserve">Date of Birth: </w:t>
            </w:r>
            <w:r w:rsidRPr="009B773C">
              <w:rPr>
                <w:lang w:val="en-US"/>
              </w:rPr>
              <w:t>18</w:t>
            </w:r>
            <w:r w:rsidRPr="009B773C">
              <w:rPr>
                <w:vertAlign w:val="superscript"/>
                <w:lang w:val="en-US"/>
              </w:rPr>
              <w:t>th</w:t>
            </w:r>
            <w:r w:rsidRPr="009B773C">
              <w:rPr>
                <w:lang w:val="en-US"/>
              </w:rPr>
              <w:t xml:space="preserve"> February 1966</w:t>
            </w:r>
            <w:r w:rsidRPr="009B773C">
              <w:rPr>
                <w:lang w:val="en-US"/>
              </w:rPr>
              <w:br/>
            </w:r>
            <w:r w:rsidRPr="009B773C">
              <w:rPr>
                <w:b/>
                <w:lang w:val="en-US"/>
              </w:rPr>
              <w:t>Country of Origin:</w:t>
            </w:r>
            <w:r w:rsidRPr="009B773C">
              <w:rPr>
                <w:lang w:val="en-US"/>
              </w:rPr>
              <w:t xml:space="preserve"> Rio de Janeiro, Brazil</w:t>
            </w:r>
            <w:r w:rsidRPr="009B773C">
              <w:rPr>
                <w:lang w:val="en-US"/>
              </w:rPr>
              <w:br/>
            </w:r>
            <w:r w:rsidRPr="009B773C">
              <w:rPr>
                <w:b/>
                <w:lang w:val="en-US"/>
              </w:rPr>
              <w:t>Address:</w:t>
            </w:r>
            <w:r w:rsidRPr="009B773C">
              <w:rPr>
                <w:lang w:val="en-US"/>
              </w:rPr>
              <w:t xml:space="preserve"> </w:t>
            </w:r>
            <w:r w:rsidR="009B773C" w:rsidRPr="009B773C">
              <w:rPr>
                <w:lang w:val="en-US"/>
              </w:rPr>
              <w:t>Gr</w:t>
            </w:r>
            <w:r w:rsidR="009B773C">
              <w:rPr>
                <w:lang w:val="en-US"/>
              </w:rPr>
              <w:t>imstadvegen 12 - Bergen, Norway</w:t>
            </w:r>
            <w:r w:rsidRPr="009B773C">
              <w:rPr>
                <w:lang w:val="en-US"/>
              </w:rPr>
              <w:br/>
            </w:r>
            <w:r w:rsidRPr="009B773C">
              <w:rPr>
                <w:b/>
                <w:lang w:val="en-US"/>
              </w:rPr>
              <w:t>Mobile:</w:t>
            </w:r>
            <w:r w:rsidRPr="009B773C">
              <w:rPr>
                <w:lang w:val="en-US"/>
              </w:rPr>
              <w:t xml:space="preserve"> </w:t>
            </w:r>
            <w:r w:rsidR="009B773C">
              <w:rPr>
                <w:lang w:val="en-US"/>
              </w:rPr>
              <w:t>+47 4836-2170</w:t>
            </w:r>
            <w:r w:rsidRPr="009B773C">
              <w:rPr>
                <w:lang w:val="en-US"/>
              </w:rPr>
              <w:br/>
            </w:r>
            <w:r w:rsidRPr="009B773C">
              <w:rPr>
                <w:b/>
                <w:lang w:val="en-US"/>
              </w:rPr>
              <w:t>Email:</w:t>
            </w:r>
            <w:r w:rsidRPr="009B773C">
              <w:rPr>
                <w:lang w:val="en-US"/>
              </w:rPr>
              <w:t xml:space="preserve"> </w:t>
            </w:r>
            <w:hyperlink r:id="rId8">
              <w:r w:rsidRPr="009B773C">
                <w:rPr>
                  <w:color w:val="F7B615"/>
                  <w:sz w:val="20"/>
                  <w:u w:val="single"/>
                  <w:lang w:val="en-US"/>
                </w:rPr>
                <w:t>rogeriap@gmail.com</w:t>
              </w:r>
            </w:hyperlink>
            <w:r w:rsidRPr="009B773C">
              <w:rPr>
                <w:lang w:val="en-US"/>
              </w:rPr>
              <w:t xml:space="preserve"> &amp;/or</w:t>
            </w:r>
            <w:r w:rsidRPr="009B773C">
              <w:rPr>
                <w:rFonts w:ascii="Arial" w:eastAsia="Arial" w:hAnsi="Arial" w:cs="Arial"/>
                <w:lang w:val="en-US"/>
              </w:rPr>
              <w:t xml:space="preserve"> </w:t>
            </w:r>
            <w:hyperlink r:id="rId9">
              <w:r w:rsidRPr="009B773C">
                <w:rPr>
                  <w:color w:val="F7B615"/>
                  <w:sz w:val="20"/>
                  <w:u w:val="single"/>
                  <w:lang w:val="en-US"/>
                </w:rPr>
                <w:t>rogeria@gmx.co.uk</w:t>
              </w:r>
            </w:hyperlink>
            <w:r w:rsidRPr="009B773C">
              <w:rPr>
                <w:lang w:val="en-US"/>
              </w:rPr>
              <w:br/>
            </w:r>
            <w:r w:rsidRPr="009B773C">
              <w:rPr>
                <w:b/>
                <w:lang w:val="en-US"/>
              </w:rPr>
              <w:t>Skype</w:t>
            </w:r>
            <w:r w:rsidRPr="009B773C">
              <w:rPr>
                <w:lang w:val="en-US"/>
              </w:rPr>
              <w:t xml:space="preserve">: </w:t>
            </w:r>
            <w:hyperlink r:id="rId10">
              <w:r w:rsidRPr="009B773C">
                <w:rPr>
                  <w:color w:val="F7B615"/>
                  <w:sz w:val="20"/>
                  <w:u w:val="single"/>
                  <w:lang w:val="en-US"/>
                </w:rPr>
                <w:t>chrystal.rj@gmx.net</w:t>
              </w:r>
            </w:hyperlink>
          </w:p>
        </w:tc>
      </w:tr>
      <w:tr w:rsidR="0075563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55634" w:rsidRPr="009B773C" w:rsidRDefault="00755634">
            <w:pPr>
              <w:pStyle w:val="normal0"/>
              <w:contextualSpacing w:val="0"/>
              <w:rPr>
                <w:lang w:val="en-US"/>
              </w:rPr>
            </w:pPr>
            <w:hyperlink r:id="rId11"/>
          </w:p>
        </w:tc>
        <w:tc>
          <w:tcPr>
            <w:tcW w:w="7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55634" w:rsidRPr="009B773C" w:rsidRDefault="00607228">
            <w:pPr>
              <w:pStyle w:val="normal0"/>
              <w:spacing w:before="480" w:after="40" w:line="240" w:lineRule="auto"/>
              <w:contextualSpacing w:val="0"/>
              <w:rPr>
                <w:lang w:val="en-US"/>
              </w:rPr>
            </w:pPr>
            <w:r w:rsidRPr="009B773C">
              <w:rPr>
                <w:b/>
                <w:color w:val="DD8047"/>
                <w:sz w:val="24"/>
                <w:lang w:val="en-US"/>
              </w:rPr>
              <w:t>Objectives</w:t>
            </w:r>
            <w:r w:rsidRPr="009B773C">
              <w:rPr>
                <w:b/>
                <w:color w:val="DD8047"/>
                <w:sz w:val="24"/>
                <w:lang w:val="en-US"/>
              </w:rPr>
              <w:br/>
            </w:r>
          </w:p>
          <w:p w:rsidR="00755634" w:rsidRPr="009B773C" w:rsidRDefault="00607228" w:rsidP="009B773C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lang w:val="en-US"/>
              </w:rPr>
              <w:t>To work as translator, editor and quality assurance specialist, providing high quality services worldwide in several languages without loss of writer context or overall intention and also to continue l</w:t>
            </w:r>
            <w:r w:rsidRPr="009B773C">
              <w:rPr>
                <w:lang w:val="en-US"/>
              </w:rPr>
              <w:t>earning languages in the near future.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before="480" w:after="40" w:line="240" w:lineRule="auto"/>
              <w:contextualSpacing w:val="0"/>
              <w:rPr>
                <w:lang w:val="en-US"/>
              </w:rPr>
            </w:pPr>
            <w:r w:rsidRPr="009B773C">
              <w:rPr>
                <w:b/>
                <w:color w:val="DD8047"/>
                <w:sz w:val="24"/>
                <w:lang w:val="en-US"/>
              </w:rPr>
              <w:t>Personal Characteristics</w:t>
            </w:r>
            <w:r w:rsidRPr="009B773C">
              <w:rPr>
                <w:b/>
                <w:color w:val="DD8047"/>
                <w:sz w:val="24"/>
                <w:lang w:val="en-US"/>
              </w:rPr>
              <w:br/>
            </w:r>
          </w:p>
          <w:p w:rsidR="00755634" w:rsidRPr="009B773C" w:rsidRDefault="00607228" w:rsidP="009B773C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lang w:val="en-US"/>
              </w:rPr>
              <w:t>Passionate, dynamic, sociable, responsible, trustworthy, confident, excellent communication skills, leadership qualities, initiative, highly motivated, excellent work ethics, reliable, able t</w:t>
            </w:r>
            <w:r w:rsidRPr="009B773C">
              <w:rPr>
                <w:lang w:val="en-US"/>
              </w:rPr>
              <w:t>o follow instructions, dedicated, able to work independently and within a team.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9B773C">
            <w:pPr>
              <w:pStyle w:val="normal0"/>
              <w:spacing w:before="480" w:after="40" w:line="240" w:lineRule="auto"/>
              <w:contextualSpacing w:val="0"/>
              <w:rPr>
                <w:lang w:val="en-US"/>
              </w:rPr>
            </w:pPr>
            <w:r>
              <w:rPr>
                <w:b/>
                <w:color w:val="DD8047"/>
                <w:sz w:val="24"/>
                <w:lang w:val="en-US"/>
              </w:rPr>
              <w:t>S</w:t>
            </w:r>
            <w:r w:rsidR="00607228" w:rsidRPr="009B773C">
              <w:rPr>
                <w:b/>
                <w:color w:val="DD8047"/>
                <w:sz w:val="24"/>
                <w:lang w:val="en-US"/>
              </w:rPr>
              <w:t>kills</w:t>
            </w:r>
            <w:r w:rsidR="00607228" w:rsidRPr="009B773C">
              <w:rPr>
                <w:b/>
                <w:color w:val="DD8047"/>
                <w:sz w:val="24"/>
                <w:lang w:val="en-US"/>
              </w:rPr>
              <w:br/>
            </w:r>
          </w:p>
          <w:p w:rsidR="00755634" w:rsidRPr="009B773C" w:rsidRDefault="00607228" w:rsidP="009B773C">
            <w:pPr>
              <w:pStyle w:val="normal0"/>
              <w:spacing w:after="120"/>
              <w:contextualSpacing w:val="0"/>
              <w:rPr>
                <w:lang w:val="en-US"/>
              </w:rPr>
            </w:pPr>
            <w:r w:rsidRPr="009B773C">
              <w:rPr>
                <w:lang w:val="en-US"/>
              </w:rPr>
              <w:t>Experienced with Translation Tools like SDL Trados Suite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 w:rsidP="009B773C">
            <w:pPr>
              <w:pStyle w:val="normal0"/>
              <w:spacing w:after="120"/>
              <w:contextualSpacing w:val="0"/>
              <w:rPr>
                <w:lang w:val="en-US"/>
              </w:rPr>
            </w:pPr>
            <w:r w:rsidRPr="009B773C">
              <w:rPr>
                <w:lang w:val="en-US"/>
              </w:rPr>
              <w:lastRenderedPageBreak/>
              <w:t xml:space="preserve">Good knowledge of graphic </w:t>
            </w:r>
            <w:r w:rsidR="009B773C" w:rsidRPr="009B773C">
              <w:rPr>
                <w:lang w:val="en-US"/>
              </w:rPr>
              <w:t>software</w:t>
            </w:r>
            <w:r w:rsidRPr="009B773C">
              <w:rPr>
                <w:lang w:val="en-US"/>
              </w:rPr>
              <w:t>, like Adobe Photoshop, Acrobat, etc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 w:rsidP="009B773C">
            <w:pPr>
              <w:pStyle w:val="normal0"/>
              <w:spacing w:after="120"/>
              <w:contextualSpacing w:val="0"/>
              <w:rPr>
                <w:lang w:val="en-US"/>
              </w:rPr>
            </w:pPr>
            <w:r w:rsidRPr="009B773C">
              <w:rPr>
                <w:lang w:val="en-US"/>
              </w:rPr>
              <w:t>Advanced internet user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9B773C">
            <w:pPr>
              <w:pStyle w:val="normal0"/>
              <w:spacing w:before="480" w:after="40" w:line="240" w:lineRule="auto"/>
              <w:contextualSpacing w:val="0"/>
              <w:rPr>
                <w:lang w:val="en-US"/>
              </w:rPr>
            </w:pPr>
            <w:r>
              <w:rPr>
                <w:b/>
                <w:color w:val="DD8047"/>
                <w:sz w:val="24"/>
                <w:lang w:val="en-US"/>
              </w:rPr>
              <w:t>University e</w:t>
            </w:r>
            <w:r w:rsidR="00607228" w:rsidRPr="009B773C">
              <w:rPr>
                <w:b/>
                <w:color w:val="DD8047"/>
                <w:sz w:val="24"/>
                <w:lang w:val="en-US"/>
              </w:rPr>
              <w:t>ducation and certificates</w:t>
            </w:r>
            <w:r w:rsidR="00607228" w:rsidRPr="009B773C">
              <w:rPr>
                <w:b/>
                <w:color w:val="DD8047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t>Estácio de Sá University</w:t>
            </w:r>
            <w:r w:rsidRPr="009B773C">
              <w:rPr>
                <w:b/>
                <w:color w:val="94B6D2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ind w:left="360" w:hanging="359"/>
              <w:contextualSpacing w:val="0"/>
              <w:rPr>
                <w:lang w:val="en-US"/>
              </w:rPr>
            </w:pPr>
            <w:r w:rsidRPr="009B773C">
              <w:rPr>
                <w:sz w:val="24"/>
                <w:lang w:val="en-US"/>
              </w:rPr>
              <w:t>Oil Engineering – Postgraduate Programme (2003) (not completed)</w:t>
            </w:r>
            <w:r w:rsidRPr="009B773C">
              <w:rPr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t>PUC (Catholic University)</w:t>
            </w:r>
            <w:r w:rsidRPr="009B773C">
              <w:rPr>
                <w:b/>
                <w:color w:val="94B6D2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sz w:val="24"/>
                <w:lang w:val="en-US"/>
              </w:rPr>
              <w:t>B.A. in Brazilian, Portuguese, American and British Literature, Poetry and Languages (2000–2002)</w:t>
            </w:r>
            <w:r w:rsidRPr="009B773C">
              <w:rPr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t>B</w:t>
            </w:r>
            <w:r w:rsidRPr="009B773C">
              <w:rPr>
                <w:b/>
                <w:color w:val="94B6D2"/>
                <w:sz w:val="24"/>
                <w:lang w:val="en-US"/>
              </w:rPr>
              <w:t>razilian Translators Association</w:t>
            </w:r>
            <w:r w:rsidRPr="009B773C">
              <w:rPr>
                <w:b/>
                <w:color w:val="94B6D2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sz w:val="24"/>
                <w:lang w:val="en-US"/>
              </w:rPr>
              <w:t>Oil Terminology (2001)</w:t>
            </w:r>
            <w:r w:rsidRPr="009B773C">
              <w:rPr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t>University of Cambridge</w:t>
            </w:r>
            <w:r w:rsidRPr="009B773C">
              <w:rPr>
                <w:b/>
                <w:color w:val="94B6D2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sz w:val="24"/>
                <w:lang w:val="en-US"/>
              </w:rPr>
              <w:t>Certificate of Proficiency in English (CPE) (1986)</w:t>
            </w:r>
            <w:r w:rsidRPr="009B773C">
              <w:rPr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sz w:val="24"/>
                <w:lang w:val="en-US"/>
              </w:rPr>
              <w:t>*CPE is Cambridge ESOL's most advanced exam, aimed at people who use English for professional or study purposes.</w:t>
            </w:r>
            <w:r w:rsidRPr="009B773C">
              <w:rPr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sz w:val="24"/>
                <w:lang w:val="en-US"/>
              </w:rPr>
              <w:t>Cambridge ESOL is a department of the world-famous and historic University of Cambridge. Attaining one of its certificates is an achievement and a reward in itself.</w:t>
            </w:r>
            <w:r w:rsidRPr="009B773C">
              <w:rPr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pt-BR"/>
              </w:rPr>
            </w:pPr>
            <w:r w:rsidRPr="009B773C">
              <w:rPr>
                <w:b/>
                <w:color w:val="94B6D2"/>
                <w:sz w:val="24"/>
                <w:lang w:val="pt-BR"/>
              </w:rPr>
              <w:t>Federal University of Rio de Janeiro</w:t>
            </w:r>
            <w:r w:rsidRPr="009B773C">
              <w:rPr>
                <w:b/>
                <w:color w:val="94B6D2"/>
                <w:sz w:val="24"/>
                <w:lang w:val="pt-BR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sz w:val="24"/>
                <w:lang w:val="en-US"/>
              </w:rPr>
              <w:t>Literature and Languages (1983–1984)</w:t>
            </w:r>
            <w:r w:rsidRPr="009B773C">
              <w:rPr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t xml:space="preserve">University of </w:t>
            </w:r>
            <w:r w:rsidRPr="009B773C">
              <w:rPr>
                <w:b/>
                <w:color w:val="94B6D2"/>
                <w:sz w:val="24"/>
                <w:lang w:val="en-US"/>
              </w:rPr>
              <w:t>Cambridge – GRADE A</w:t>
            </w:r>
            <w:r w:rsidRPr="009B773C">
              <w:rPr>
                <w:b/>
                <w:color w:val="94B6D2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sz w:val="24"/>
                <w:lang w:val="en-US"/>
              </w:rPr>
              <w:t>First Certificate in English (FCE) (1983)</w:t>
            </w:r>
            <w:r w:rsidRPr="009B773C">
              <w:rPr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sz w:val="24"/>
                <w:lang w:val="en-US"/>
              </w:rPr>
              <w:t>*FCE is an exam for people who can use everyday written and spoken English at an upper-intermediate level. It is an ideal exam for people who want to use English for work or study purposes.</w:t>
            </w:r>
            <w:r w:rsidRPr="009B773C">
              <w:rPr>
                <w:sz w:val="24"/>
                <w:lang w:val="en-US"/>
              </w:rPr>
              <w:br/>
            </w:r>
          </w:p>
          <w:p w:rsidR="00755634" w:rsidRPr="009B773C" w:rsidRDefault="009B773C">
            <w:pPr>
              <w:pStyle w:val="normal0"/>
              <w:spacing w:before="480" w:after="40" w:line="240" w:lineRule="auto"/>
              <w:contextualSpacing w:val="0"/>
              <w:rPr>
                <w:lang w:val="en-US"/>
              </w:rPr>
            </w:pPr>
            <w:r>
              <w:rPr>
                <w:b/>
                <w:color w:val="DD8047"/>
                <w:sz w:val="24"/>
                <w:lang w:val="en-US"/>
              </w:rPr>
              <w:t>E</w:t>
            </w:r>
            <w:r w:rsidR="00607228" w:rsidRPr="009B773C">
              <w:rPr>
                <w:b/>
                <w:color w:val="DD8047"/>
                <w:sz w:val="24"/>
                <w:lang w:val="en-US"/>
              </w:rPr>
              <w:t>xperience</w:t>
            </w:r>
            <w:r w:rsidR="00607228" w:rsidRPr="009B773C">
              <w:rPr>
                <w:b/>
                <w:color w:val="DD8047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sz w:val="24"/>
                <w:lang w:val="en-US"/>
              </w:rPr>
              <w:t>FREELANCE TRANSLATOR TO CLIENTS SUCH AS:</w:t>
            </w:r>
            <w:r w:rsidRPr="009B773C">
              <w:rPr>
                <w:b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bookmarkStart w:id="0" w:name="h.gjdgxs" w:colFirst="0" w:colLast="0"/>
            <w:bookmarkEnd w:id="0"/>
            <w:r w:rsidRPr="009B773C">
              <w:rPr>
                <w:b/>
                <w:color w:val="94B6D2"/>
                <w:sz w:val="24"/>
                <w:lang w:val="en-US"/>
              </w:rPr>
              <w:t>Lionbridge Technologies, Inc</w:t>
            </w:r>
            <w:r w:rsidRPr="009B773C">
              <w:rPr>
                <w:b/>
                <w:color w:val="94B6D2"/>
                <w:sz w:val="24"/>
                <w:lang w:val="en-US"/>
              </w:rPr>
              <w:br/>
            </w:r>
            <w:r w:rsidRPr="009B773C">
              <w:rPr>
                <w:lang w:val="en-US"/>
              </w:rPr>
              <w:t>Translation and localization of files for Dell and Microsoft projects</w:t>
            </w:r>
            <w:r w:rsidRPr="009B773C">
              <w:rPr>
                <w:b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t>2Tr Soluções Globais</w:t>
            </w:r>
            <w:r w:rsidRPr="009B773C">
              <w:rPr>
                <w:b/>
                <w:color w:val="94B6D2"/>
                <w:sz w:val="24"/>
                <w:lang w:val="en-US"/>
              </w:rPr>
              <w:br/>
            </w:r>
            <w:r w:rsidRPr="009B773C">
              <w:rPr>
                <w:lang w:val="en-US"/>
              </w:rPr>
              <w:t>Translation, localization and proofreading of files for Microsoft, Jumeirah Ho</w:t>
            </w:r>
            <w:r w:rsidRPr="009B773C">
              <w:rPr>
                <w:lang w:val="en-US"/>
              </w:rPr>
              <w:t>tels &amp; Resorts, Konftel, General Electric Company, Electrolux, among others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t>Canvas / Touché Interactive Media</w:t>
            </w:r>
            <w:r w:rsidRPr="009B773C">
              <w:rPr>
                <w:b/>
                <w:color w:val="94B6D2"/>
                <w:sz w:val="24"/>
                <w:lang w:val="en-US"/>
              </w:rPr>
              <w:br/>
            </w:r>
            <w:r w:rsidRPr="009B773C">
              <w:rPr>
                <w:lang w:val="en-US"/>
              </w:rPr>
              <w:t>Translation and proofreading of their proprietary marketing related material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lang w:val="en-US"/>
              </w:rPr>
              <w:br/>
            </w:r>
            <w:r w:rsidRPr="009B773C">
              <w:rPr>
                <w:b/>
                <w:color w:val="94B6D2"/>
                <w:sz w:val="24"/>
                <w:lang w:val="en-US"/>
              </w:rPr>
              <w:t>Mundial Traduções</w:t>
            </w:r>
            <w:r w:rsidRPr="009B773C">
              <w:rPr>
                <w:lang w:val="en-US"/>
              </w:rPr>
              <w:br/>
            </w:r>
            <w:r w:rsidRPr="009B773C">
              <w:rPr>
                <w:lang w:val="en-US"/>
              </w:rPr>
              <w:t>Translation of files for National Oilwell Varco, Inc., among others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t>Top Traduções</w:t>
            </w:r>
            <w:r w:rsidRPr="009B773C">
              <w:rPr>
                <w:lang w:val="en-US"/>
              </w:rPr>
              <w:br/>
              <w:t>Translation of files for Steris Corporation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t>Local Concept (former Multitrans–USA)</w:t>
            </w:r>
            <w:r w:rsidRPr="009B773C">
              <w:rPr>
                <w:b/>
                <w:color w:val="94B6D2"/>
                <w:sz w:val="24"/>
                <w:lang w:val="en-US"/>
              </w:rPr>
              <w:br/>
            </w:r>
            <w:r w:rsidRPr="009B773C">
              <w:rPr>
                <w:lang w:val="en-US"/>
              </w:rPr>
              <w:t>Translation and localization for Kyocera, Motorola, Nextel, Sony, Nokia, Microsoft, etc.</w:t>
            </w:r>
            <w:r w:rsidRPr="009B773C">
              <w:rPr>
                <w:b/>
                <w:color w:val="94B6D2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br/>
              <w:t>Fast Translation Services</w:t>
            </w:r>
            <w:r w:rsidRPr="009B773C">
              <w:rPr>
                <w:b/>
                <w:color w:val="94B6D2"/>
                <w:sz w:val="24"/>
                <w:lang w:val="en-US"/>
              </w:rPr>
              <w:br/>
            </w:r>
            <w:r w:rsidRPr="009B773C">
              <w:rPr>
                <w:lang w:val="en-US"/>
              </w:rPr>
              <w:t>Translation of oil &amp; gas-related material such as documents and manuals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t>Flash Idiomas Translation Services</w:t>
            </w:r>
            <w:r w:rsidRPr="009B773C">
              <w:rPr>
                <w:b/>
                <w:color w:val="94B6D2"/>
                <w:sz w:val="24"/>
                <w:lang w:val="en-US"/>
              </w:rPr>
              <w:br/>
            </w:r>
            <w:r w:rsidRPr="009B773C">
              <w:rPr>
                <w:lang w:val="en-US"/>
              </w:rPr>
              <w:t>Translation of oil &amp; gas-related documents and manuals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t>Amerikas</w:t>
            </w:r>
            <w:r w:rsidRPr="009B773C">
              <w:rPr>
                <w:b/>
                <w:color w:val="94B6D2"/>
                <w:sz w:val="24"/>
                <w:lang w:val="en-US"/>
              </w:rPr>
              <w:br/>
            </w:r>
            <w:r w:rsidRPr="009B773C">
              <w:rPr>
                <w:lang w:val="en-US"/>
              </w:rPr>
              <w:t>Translation of oil &amp; gas-related documents (Shell proj</w:t>
            </w:r>
            <w:r w:rsidRPr="009B773C">
              <w:rPr>
                <w:lang w:val="en-US"/>
              </w:rPr>
              <w:t>ect)</w:t>
            </w:r>
            <w:r w:rsidRPr="009B773C">
              <w:rPr>
                <w:b/>
                <w:color w:val="94B6D2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t>Elsevier</w:t>
            </w:r>
            <w:r w:rsidRPr="009B773C">
              <w:rPr>
                <w:b/>
                <w:color w:val="94B6D2"/>
                <w:sz w:val="24"/>
                <w:lang w:val="en-US"/>
              </w:rPr>
              <w:br/>
            </w:r>
            <w:r w:rsidRPr="009B773C">
              <w:rPr>
                <w:lang w:val="en-US"/>
              </w:rPr>
              <w:t>Translation and proofreading of proprietary marketing-related material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br/>
              <w:t>Ccaps</w:t>
            </w:r>
            <w:r w:rsidRPr="009B773C">
              <w:rPr>
                <w:b/>
                <w:lang w:val="en-US"/>
              </w:rPr>
              <w:br/>
            </w:r>
            <w:r w:rsidRPr="009B773C">
              <w:rPr>
                <w:lang w:val="en-US"/>
              </w:rPr>
              <w:t>Projects such as Windows Server 2003, Nokia and Getty Images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sz w:val="24"/>
                <w:lang w:val="en-US"/>
              </w:rPr>
              <w:t>OTHER</w:t>
            </w:r>
            <w:r w:rsidRPr="009B773C">
              <w:rPr>
                <w:b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lang w:val="en-US"/>
              </w:rPr>
              <w:t>I have also rendered translation services as a freelancer for several clients in the fields of software, hardware, environment, oil &amp; gas, marketing and retail.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9B773C">
            <w:pPr>
              <w:pStyle w:val="normal0"/>
              <w:spacing w:before="480" w:after="40" w:line="240" w:lineRule="auto"/>
              <w:contextualSpacing w:val="0"/>
              <w:rPr>
                <w:lang w:val="en-US"/>
              </w:rPr>
            </w:pPr>
            <w:r w:rsidRPr="009B773C">
              <w:rPr>
                <w:b/>
                <w:color w:val="DD8047"/>
                <w:sz w:val="24"/>
                <w:lang w:val="en-US"/>
              </w:rPr>
              <w:t>E</w:t>
            </w:r>
            <w:r>
              <w:rPr>
                <w:b/>
                <w:color w:val="DD8047"/>
                <w:sz w:val="24"/>
                <w:lang w:val="en-US"/>
              </w:rPr>
              <w:t>mployment history</w:t>
            </w:r>
            <w:r w:rsidR="00607228" w:rsidRPr="009B773C">
              <w:rPr>
                <w:b/>
                <w:color w:val="DD8047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lastRenderedPageBreak/>
              <w:t>JDA Software</w:t>
            </w:r>
            <w:r w:rsidRPr="009B773C">
              <w:rPr>
                <w:b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lang w:val="en-US"/>
              </w:rPr>
              <w:t>Sep 2000 to Apr 2002</w:t>
            </w:r>
            <w:r w:rsidRPr="009B773C">
              <w:rPr>
                <w:b/>
                <w:lang w:val="en-US"/>
              </w:rPr>
              <w:br/>
            </w:r>
            <w:r w:rsidRPr="009B773C">
              <w:rPr>
                <w:lang w:val="en-US"/>
              </w:rPr>
              <w:t>In-House Translator</w:t>
            </w:r>
            <w:r w:rsidRPr="009B773C">
              <w:rPr>
                <w:b/>
                <w:lang w:val="en-US"/>
              </w:rPr>
              <w:br/>
            </w:r>
            <w:r w:rsidRPr="009B773C">
              <w:rPr>
                <w:lang w:val="en-US"/>
              </w:rPr>
              <w:t>Translation and loc</w:t>
            </w:r>
            <w:r w:rsidRPr="009B773C">
              <w:rPr>
                <w:lang w:val="en-US"/>
              </w:rPr>
              <w:t>alization of their proprietary software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t>Lersch Translation Services</w:t>
            </w:r>
            <w:r w:rsidRPr="009B773C">
              <w:rPr>
                <w:b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lang w:val="en-US"/>
              </w:rPr>
              <w:t>Jun 2000 to Sep 2000</w:t>
            </w:r>
            <w:r w:rsidRPr="009B773C">
              <w:rPr>
                <w:b/>
                <w:lang w:val="en-US"/>
              </w:rPr>
              <w:br/>
            </w:r>
            <w:r w:rsidRPr="009B773C">
              <w:rPr>
                <w:lang w:val="en-US"/>
              </w:rPr>
              <w:t>In-House Translator</w:t>
            </w:r>
            <w:r w:rsidRPr="009B773C">
              <w:rPr>
                <w:b/>
                <w:lang w:val="en-US"/>
              </w:rPr>
              <w:br/>
            </w:r>
            <w:r w:rsidRPr="009B773C">
              <w:rPr>
                <w:lang w:val="en-US"/>
              </w:rPr>
              <w:t>Translation of documents in general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t>Berlitz Globalnet (Localization)</w:t>
            </w:r>
            <w:r w:rsidRPr="009B773C">
              <w:rPr>
                <w:b/>
                <w:lang w:val="en-US"/>
              </w:rPr>
              <w:t xml:space="preserve"> </w:t>
            </w:r>
            <w:r w:rsidRPr="009B773C">
              <w:rPr>
                <w:b/>
                <w:lang w:val="en-US"/>
              </w:rPr>
              <w:br/>
            </w:r>
            <w:r w:rsidRPr="009B773C">
              <w:rPr>
                <w:lang w:val="en-US"/>
              </w:rPr>
              <w:t>Jan 2000 to Jan 2001</w:t>
            </w:r>
            <w:r w:rsidRPr="009B773C">
              <w:rPr>
                <w:lang w:val="en-US"/>
              </w:rPr>
              <w:br/>
              <w:t xml:space="preserve">In-House Translator (trainee) </w:t>
            </w:r>
            <w:r w:rsidRPr="009B773C">
              <w:rPr>
                <w:lang w:val="en-US"/>
              </w:rPr>
              <w:br/>
            </w:r>
            <w:r w:rsidRPr="009B773C">
              <w:rPr>
                <w:lang w:val="en-US"/>
              </w:rPr>
              <w:t>Projects such as SAP, Kodak, Varig, Linux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t>Colégio Legrand</w:t>
            </w:r>
            <w:r w:rsidRPr="009B773C">
              <w:rPr>
                <w:b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ind w:firstLine="6"/>
              <w:contextualSpacing w:val="0"/>
              <w:rPr>
                <w:lang w:val="en-US"/>
              </w:rPr>
            </w:pPr>
            <w:r w:rsidRPr="009B773C">
              <w:rPr>
                <w:lang w:val="en-US"/>
              </w:rPr>
              <w:t>Feb 1990 to Sep 1999</w:t>
            </w:r>
            <w:r w:rsidRPr="009B773C">
              <w:rPr>
                <w:b/>
                <w:lang w:val="en-US"/>
              </w:rPr>
              <w:br/>
            </w:r>
            <w:r w:rsidRPr="009B773C">
              <w:rPr>
                <w:lang w:val="en-US"/>
              </w:rPr>
              <w:t>English Language Teacher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pt-BR"/>
              </w:rPr>
            </w:pPr>
            <w:r w:rsidRPr="009B773C">
              <w:rPr>
                <w:b/>
                <w:color w:val="94B6D2"/>
                <w:sz w:val="24"/>
                <w:lang w:val="pt-BR"/>
              </w:rPr>
              <w:t>UERJ–State University of Rio de Janeiro</w:t>
            </w:r>
            <w:r w:rsidRPr="009B773C">
              <w:rPr>
                <w:b/>
                <w:lang w:val="pt-BR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lang w:val="en-US"/>
              </w:rPr>
              <w:t>Feb 1997 to Jul 2000</w:t>
            </w:r>
            <w:r w:rsidRPr="009B773C">
              <w:rPr>
                <w:b/>
                <w:lang w:val="en-US"/>
              </w:rPr>
              <w:br/>
            </w:r>
            <w:r w:rsidRPr="009B773C">
              <w:rPr>
                <w:lang w:val="en-US"/>
              </w:rPr>
              <w:t>English Language Teacher</w:t>
            </w:r>
            <w:r w:rsidRPr="009B773C">
              <w:rPr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before="480" w:after="40" w:line="240" w:lineRule="auto"/>
              <w:contextualSpacing w:val="0"/>
              <w:rPr>
                <w:lang w:val="en-US"/>
              </w:rPr>
            </w:pPr>
            <w:r w:rsidRPr="009B773C">
              <w:rPr>
                <w:b/>
                <w:color w:val="DD8047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before="480" w:after="40" w:line="240" w:lineRule="auto"/>
              <w:contextualSpacing w:val="0"/>
              <w:rPr>
                <w:lang w:val="en-US"/>
              </w:rPr>
            </w:pPr>
            <w:r w:rsidRPr="009B773C">
              <w:rPr>
                <w:b/>
                <w:color w:val="DD8047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before="480" w:after="40" w:line="240" w:lineRule="auto"/>
              <w:contextualSpacing w:val="0"/>
              <w:rPr>
                <w:lang w:val="en-US"/>
              </w:rPr>
            </w:pPr>
            <w:r w:rsidRPr="009B773C">
              <w:rPr>
                <w:b/>
                <w:color w:val="DD8047"/>
                <w:sz w:val="24"/>
                <w:lang w:val="en-US"/>
              </w:rPr>
              <w:t>P</w:t>
            </w:r>
            <w:r w:rsidR="009B773C">
              <w:rPr>
                <w:b/>
                <w:color w:val="DD8047"/>
                <w:sz w:val="24"/>
                <w:lang w:val="en-US"/>
              </w:rPr>
              <w:t>ublished works</w:t>
            </w:r>
            <w:r w:rsidRPr="009B773C">
              <w:rPr>
                <w:b/>
                <w:color w:val="DD8047"/>
                <w:sz w:val="24"/>
                <w:lang w:val="en-US"/>
              </w:rPr>
              <w:t xml:space="preserve"> (</w:t>
            </w:r>
            <w:r w:rsidR="009B773C">
              <w:rPr>
                <w:b/>
                <w:color w:val="DD8047"/>
                <w:sz w:val="24"/>
                <w:lang w:val="en-US"/>
              </w:rPr>
              <w:t>translated</w:t>
            </w:r>
            <w:r w:rsidRPr="009B773C">
              <w:rPr>
                <w:b/>
                <w:color w:val="DD8047"/>
                <w:sz w:val="24"/>
                <w:lang w:val="en-US"/>
              </w:rPr>
              <w:t>)</w:t>
            </w:r>
            <w:r w:rsidRPr="009B773C">
              <w:rPr>
                <w:b/>
                <w:color w:val="DD8047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rFonts w:ascii="Arial" w:eastAsia="Arial" w:hAnsi="Arial" w:cs="Arial"/>
                <w:b/>
                <w:color w:val="94B6D2"/>
                <w:sz w:val="24"/>
                <w:lang w:val="en-US"/>
              </w:rPr>
              <w:t>Jennifer Kaufman and Ka</w:t>
            </w:r>
            <w:r w:rsidRPr="009B773C">
              <w:rPr>
                <w:rFonts w:ascii="Arial" w:eastAsia="Arial" w:hAnsi="Arial" w:cs="Arial"/>
                <w:b/>
                <w:color w:val="94B6D2"/>
                <w:sz w:val="24"/>
                <w:lang w:val="en-US"/>
              </w:rPr>
              <w:t xml:space="preserve">ren Mack - </w:t>
            </w:r>
            <w:r w:rsidRPr="009B773C">
              <w:rPr>
                <w:rFonts w:ascii="Arial" w:eastAsia="Arial" w:hAnsi="Arial" w:cs="Arial"/>
                <w:b/>
                <w:i/>
                <w:color w:val="94B6D2"/>
                <w:sz w:val="24"/>
                <w:lang w:val="en-US"/>
              </w:rPr>
              <w:t>Literacy and Longing in L.A.</w:t>
            </w:r>
            <w:r w:rsidRPr="009B773C">
              <w:rPr>
                <w:rFonts w:ascii="Arial" w:eastAsia="Arial" w:hAnsi="Arial" w:cs="Arial"/>
                <w:b/>
                <w:color w:val="94B6D2"/>
                <w:sz w:val="24"/>
                <w:lang w:val="en-US"/>
              </w:rPr>
              <w:t xml:space="preserve"> </w:t>
            </w:r>
            <w:r w:rsidRPr="009B773C">
              <w:rPr>
                <w:sz w:val="24"/>
                <w:lang w:val="en-US"/>
              </w:rPr>
              <w:t>(Delacorte Press)</w:t>
            </w:r>
            <w:r w:rsidRPr="009B773C">
              <w:rPr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pt-BR"/>
              </w:rPr>
            </w:pPr>
            <w:r w:rsidRPr="009B773C">
              <w:rPr>
                <w:lang w:val="pt-BR"/>
              </w:rPr>
              <w:t xml:space="preserve">In Portuguese: </w:t>
            </w:r>
            <w:r w:rsidRPr="009B773C">
              <w:rPr>
                <w:i/>
                <w:lang w:val="pt-BR"/>
              </w:rPr>
              <w:t>Ler, Viver e Amar em Los Angeles</w:t>
            </w:r>
            <w:r w:rsidRPr="009B773C">
              <w:rPr>
                <w:b/>
                <w:lang w:val="pt-BR"/>
              </w:rPr>
              <w:br/>
            </w:r>
            <w:r w:rsidRPr="009B773C">
              <w:rPr>
                <w:lang w:val="pt-BR"/>
              </w:rPr>
              <w:t>Publishing house in Brazil: Casa da Palavra (2008)</w:t>
            </w:r>
            <w:r w:rsidRPr="009B773C">
              <w:rPr>
                <w:lang w:val="pt-BR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br/>
            </w:r>
            <w:r w:rsidRPr="009B773C">
              <w:rPr>
                <w:rFonts w:ascii="Arial" w:eastAsia="Arial" w:hAnsi="Arial" w:cs="Arial"/>
                <w:b/>
                <w:color w:val="94B6D2"/>
                <w:sz w:val="24"/>
                <w:lang w:val="en-US"/>
              </w:rPr>
              <w:t xml:space="preserve">Tatiana de Rosnay - </w:t>
            </w:r>
            <w:r w:rsidRPr="009B773C">
              <w:rPr>
                <w:rFonts w:ascii="Arial" w:eastAsia="Arial" w:hAnsi="Arial" w:cs="Arial"/>
                <w:b/>
                <w:i/>
                <w:color w:val="94B6D2"/>
                <w:sz w:val="24"/>
                <w:lang w:val="en-US"/>
              </w:rPr>
              <w:t>Sarah’s Key</w:t>
            </w:r>
            <w:r w:rsidRPr="009B773C">
              <w:rPr>
                <w:sz w:val="24"/>
                <w:lang w:val="en-US"/>
              </w:rPr>
              <w:t xml:space="preserve"> (St. Martin's Press)</w:t>
            </w:r>
            <w:r w:rsidRPr="009B773C">
              <w:rPr>
                <w:b/>
                <w:i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pt-BR"/>
              </w:rPr>
            </w:pPr>
            <w:r w:rsidRPr="009B773C">
              <w:rPr>
                <w:lang w:val="pt-BR"/>
              </w:rPr>
              <w:t xml:space="preserve">In Portuguese: </w:t>
            </w:r>
            <w:r w:rsidRPr="009B773C">
              <w:rPr>
                <w:i/>
                <w:lang w:val="pt-BR"/>
              </w:rPr>
              <w:t>A Chave de Sara</w:t>
            </w:r>
            <w:r w:rsidRPr="009B773C">
              <w:rPr>
                <w:b/>
                <w:lang w:val="pt-BR"/>
              </w:rPr>
              <w:t xml:space="preserve"> </w:t>
            </w:r>
            <w:r w:rsidRPr="009B773C">
              <w:rPr>
                <w:b/>
                <w:lang w:val="pt-BR"/>
              </w:rPr>
              <w:br/>
            </w:r>
            <w:r w:rsidRPr="009B773C">
              <w:rPr>
                <w:lang w:val="pt-BR"/>
              </w:rPr>
              <w:t>Publishing house in Brazil: Editora Objetiva (2008)</w:t>
            </w:r>
            <w:r w:rsidRPr="009B773C">
              <w:rPr>
                <w:lang w:val="pt-BR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br/>
            </w:r>
            <w:r w:rsidRPr="009B773C">
              <w:rPr>
                <w:rFonts w:ascii="Arial" w:eastAsia="Arial" w:hAnsi="Arial" w:cs="Arial"/>
                <w:b/>
                <w:color w:val="94B6D2"/>
                <w:sz w:val="24"/>
                <w:lang w:val="en-US"/>
              </w:rPr>
              <w:t xml:space="preserve">Rattawut Lapcharoensap - </w:t>
            </w:r>
            <w:r w:rsidRPr="009B773C">
              <w:rPr>
                <w:rFonts w:ascii="Arial" w:eastAsia="Arial" w:hAnsi="Arial" w:cs="Arial"/>
                <w:b/>
                <w:i/>
                <w:color w:val="94B6D2"/>
                <w:sz w:val="24"/>
                <w:lang w:val="en-US"/>
              </w:rPr>
              <w:t xml:space="preserve">Sightseeing </w:t>
            </w:r>
            <w:r w:rsidRPr="009B773C">
              <w:rPr>
                <w:sz w:val="24"/>
                <w:lang w:val="en-US"/>
              </w:rPr>
              <w:t>(Grove Press)</w:t>
            </w:r>
            <w:r w:rsidRPr="009B773C">
              <w:rPr>
                <w:b/>
                <w:i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pt-BR"/>
              </w:rPr>
            </w:pPr>
            <w:r w:rsidRPr="009B773C">
              <w:rPr>
                <w:lang w:val="pt-BR"/>
              </w:rPr>
              <w:t xml:space="preserve">In Portuguese: </w:t>
            </w:r>
            <w:r w:rsidRPr="009B773C">
              <w:rPr>
                <w:i/>
                <w:lang w:val="pt-BR"/>
              </w:rPr>
              <w:t>Um Porco Chamado Clint Eastwood</w:t>
            </w:r>
            <w:r w:rsidRPr="009B773C">
              <w:rPr>
                <w:b/>
                <w:lang w:val="pt-BR"/>
              </w:rPr>
              <w:br/>
            </w:r>
            <w:r w:rsidRPr="009B773C">
              <w:rPr>
                <w:lang w:val="pt-BR"/>
              </w:rPr>
              <w:t>Publishing house in Brazil: Casa da Palavra (2007)</w:t>
            </w:r>
            <w:r w:rsidRPr="009B773C">
              <w:rPr>
                <w:lang w:val="pt-BR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br/>
            </w:r>
            <w:r w:rsidRPr="009B773C">
              <w:rPr>
                <w:rFonts w:ascii="Arial" w:eastAsia="Arial" w:hAnsi="Arial" w:cs="Arial"/>
                <w:b/>
                <w:color w:val="94B6D2"/>
                <w:sz w:val="24"/>
                <w:lang w:val="en-US"/>
              </w:rPr>
              <w:t xml:space="preserve">Ted Nottingham - </w:t>
            </w:r>
            <w:r w:rsidRPr="009B773C">
              <w:rPr>
                <w:rFonts w:ascii="Arial" w:eastAsia="Arial" w:hAnsi="Arial" w:cs="Arial"/>
                <w:b/>
                <w:i/>
                <w:color w:val="94B6D2"/>
                <w:sz w:val="24"/>
                <w:lang w:val="en-US"/>
              </w:rPr>
              <w:t>Chess for Children</w:t>
            </w:r>
            <w:r w:rsidRPr="009B773C">
              <w:rPr>
                <w:lang w:val="en-US"/>
              </w:rPr>
              <w:t xml:space="preserve"> (Longman)</w:t>
            </w:r>
            <w:r w:rsidRPr="009B773C">
              <w:rPr>
                <w:b/>
                <w:i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pt-BR"/>
              </w:rPr>
            </w:pPr>
            <w:r w:rsidRPr="009B773C">
              <w:rPr>
                <w:lang w:val="pt-BR"/>
              </w:rPr>
              <w:t xml:space="preserve">In </w:t>
            </w:r>
            <w:r w:rsidRPr="009B773C">
              <w:rPr>
                <w:lang w:val="pt-BR"/>
              </w:rPr>
              <w:t xml:space="preserve">Portuguese: </w:t>
            </w:r>
            <w:r w:rsidRPr="009B773C">
              <w:rPr>
                <w:i/>
                <w:lang w:val="pt-BR"/>
              </w:rPr>
              <w:t>Xadrez Para Iniciantes</w:t>
            </w:r>
            <w:r w:rsidRPr="009B773C">
              <w:rPr>
                <w:b/>
                <w:lang w:val="pt-BR"/>
              </w:rPr>
              <w:br/>
            </w:r>
            <w:r w:rsidRPr="009B773C">
              <w:rPr>
                <w:lang w:val="pt-BR"/>
              </w:rPr>
              <w:t xml:space="preserve">Publishing house in Brazil: Editora Ciência Moderna (2001) </w:t>
            </w:r>
            <w:r w:rsidRPr="009B773C">
              <w:rPr>
                <w:lang w:val="pt-BR"/>
              </w:rPr>
              <w:br/>
            </w:r>
          </w:p>
          <w:p w:rsidR="00755634" w:rsidRPr="009B773C" w:rsidRDefault="00607228">
            <w:pPr>
              <w:pStyle w:val="normal0"/>
              <w:spacing w:after="40"/>
              <w:contextualSpacing w:val="0"/>
              <w:rPr>
                <w:lang w:val="en-US"/>
              </w:rPr>
            </w:pPr>
            <w:r w:rsidRPr="009B773C">
              <w:rPr>
                <w:b/>
                <w:color w:val="94B6D2"/>
                <w:sz w:val="24"/>
                <w:lang w:val="en-US"/>
              </w:rPr>
              <w:br/>
            </w:r>
            <w:r w:rsidRPr="009B773C">
              <w:rPr>
                <w:rFonts w:ascii="Arial" w:eastAsia="Arial" w:hAnsi="Arial" w:cs="Arial"/>
                <w:b/>
                <w:color w:val="94B6D2"/>
                <w:sz w:val="24"/>
                <w:lang w:val="en-US"/>
              </w:rPr>
              <w:t xml:space="preserve">Martin Greif - </w:t>
            </w:r>
            <w:r w:rsidRPr="009B773C">
              <w:rPr>
                <w:rFonts w:ascii="Arial" w:eastAsia="Arial" w:hAnsi="Arial" w:cs="Arial"/>
                <w:b/>
                <w:i/>
                <w:color w:val="94B6D2"/>
                <w:sz w:val="24"/>
                <w:lang w:val="en-US"/>
              </w:rPr>
              <w:t>200 Chess Puzzles</w:t>
            </w:r>
            <w:r w:rsidRPr="009B773C">
              <w:rPr>
                <w:b/>
                <w:color w:val="94B6D2"/>
                <w:sz w:val="24"/>
                <w:lang w:val="en-US"/>
              </w:rPr>
              <w:t xml:space="preserve"> </w:t>
            </w:r>
            <w:r w:rsidRPr="009B773C">
              <w:rPr>
                <w:lang w:val="en-US"/>
              </w:rPr>
              <w:t>(Longman)</w:t>
            </w:r>
            <w:r w:rsidRPr="009B773C">
              <w:rPr>
                <w:b/>
                <w:i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pt-BR"/>
              </w:rPr>
            </w:pPr>
            <w:r w:rsidRPr="009B773C">
              <w:rPr>
                <w:lang w:val="pt-BR"/>
              </w:rPr>
              <w:t xml:space="preserve">In Portuguese: </w:t>
            </w:r>
            <w:r w:rsidRPr="009B773C">
              <w:rPr>
                <w:i/>
                <w:lang w:val="pt-BR"/>
              </w:rPr>
              <w:t>200 Enigmas Geniais de Xadrez</w:t>
            </w:r>
            <w:r w:rsidRPr="009B773C">
              <w:rPr>
                <w:i/>
                <w:lang w:val="pt-BR"/>
              </w:rPr>
              <w:br/>
            </w:r>
            <w:r w:rsidRPr="009B773C">
              <w:rPr>
                <w:lang w:val="pt-BR"/>
              </w:rPr>
              <w:t>Publishing house in Brazil: Editora Ciência Moderna (2001)</w:t>
            </w:r>
            <w:r w:rsidRPr="009B773C">
              <w:rPr>
                <w:lang w:val="pt-BR"/>
              </w:rPr>
              <w:br/>
            </w:r>
          </w:p>
          <w:p w:rsidR="00755634" w:rsidRPr="009B773C" w:rsidRDefault="00607228">
            <w:pPr>
              <w:pStyle w:val="normal0"/>
              <w:spacing w:before="480" w:after="40" w:line="240" w:lineRule="auto"/>
              <w:contextualSpacing w:val="0"/>
              <w:rPr>
                <w:lang w:val="en-US"/>
              </w:rPr>
            </w:pPr>
            <w:r w:rsidRPr="009B773C">
              <w:rPr>
                <w:b/>
                <w:color w:val="DD8047"/>
                <w:sz w:val="24"/>
                <w:lang w:val="en-US"/>
              </w:rPr>
              <w:lastRenderedPageBreak/>
              <w:t>Languages</w:t>
            </w:r>
            <w:r w:rsidRPr="009B773C">
              <w:rPr>
                <w:b/>
                <w:color w:val="DD8047"/>
                <w:sz w:val="24"/>
                <w:lang w:val="en-US"/>
              </w:rPr>
              <w:br/>
            </w:r>
          </w:p>
          <w:p w:rsidR="00755634" w:rsidRPr="009B773C" w:rsidRDefault="00607228">
            <w:pPr>
              <w:pStyle w:val="normal0"/>
              <w:contextualSpacing w:val="0"/>
              <w:rPr>
                <w:lang w:val="en-US"/>
              </w:rPr>
            </w:pPr>
            <w:r w:rsidRPr="009B773C">
              <w:rPr>
                <w:lang w:val="en-US"/>
              </w:rPr>
              <w:t>English, French and Spanish; basic knowledge of German, Italian and Norwegian</w:t>
            </w:r>
            <w:r w:rsidRPr="009B773C">
              <w:rPr>
                <w:lang w:val="en-US"/>
              </w:rPr>
              <w:br/>
            </w:r>
          </w:p>
          <w:p w:rsidR="00755634" w:rsidRDefault="00607228">
            <w:pPr>
              <w:pStyle w:val="normal0"/>
              <w:spacing w:before="480" w:after="40" w:line="240" w:lineRule="auto"/>
              <w:contextualSpacing w:val="0"/>
            </w:pPr>
            <w:r>
              <w:rPr>
                <w:b/>
                <w:color w:val="DD8047"/>
                <w:sz w:val="24"/>
              </w:rPr>
              <w:t>Hardware and software</w:t>
            </w:r>
            <w:r>
              <w:rPr>
                <w:b/>
                <w:color w:val="DD8047"/>
                <w:sz w:val="24"/>
              </w:rPr>
              <w:br/>
            </w:r>
          </w:p>
          <w:p w:rsidR="00755634" w:rsidRPr="009B773C" w:rsidRDefault="00607228">
            <w:pPr>
              <w:pStyle w:val="normal0"/>
              <w:numPr>
                <w:ilvl w:val="0"/>
                <w:numId w:val="1"/>
              </w:numPr>
              <w:spacing w:after="120"/>
              <w:ind w:left="357" w:hanging="356"/>
              <w:rPr>
                <w:lang w:val="en-US"/>
              </w:rPr>
            </w:pPr>
            <w:r w:rsidRPr="009B773C">
              <w:rPr>
                <w:sz w:val="24"/>
                <w:lang w:val="en-US"/>
              </w:rPr>
              <w:t>2 IntelCore 2 Quad-equipped PCs, 8 Gb RAM, Windows 7 and 8</w:t>
            </w:r>
            <w:r w:rsidRPr="009B773C">
              <w:rPr>
                <w:sz w:val="24"/>
                <w:lang w:val="en-US"/>
              </w:rPr>
              <w:br/>
            </w:r>
          </w:p>
          <w:p w:rsidR="00755634" w:rsidRDefault="00607228">
            <w:pPr>
              <w:pStyle w:val="normal0"/>
              <w:numPr>
                <w:ilvl w:val="0"/>
                <w:numId w:val="1"/>
              </w:numPr>
              <w:spacing w:after="120"/>
              <w:ind w:left="357" w:hanging="356"/>
            </w:pPr>
            <w:r>
              <w:rPr>
                <w:sz w:val="24"/>
              </w:rPr>
              <w:t>Office 2007 and 2003</w:t>
            </w:r>
            <w:r>
              <w:rPr>
                <w:sz w:val="24"/>
              </w:rPr>
              <w:br/>
            </w:r>
          </w:p>
          <w:p w:rsidR="00755634" w:rsidRDefault="00607228">
            <w:pPr>
              <w:pStyle w:val="normal0"/>
              <w:numPr>
                <w:ilvl w:val="0"/>
                <w:numId w:val="1"/>
              </w:numPr>
              <w:spacing w:after="120"/>
              <w:ind w:left="357" w:hanging="356"/>
            </w:pPr>
            <w:r>
              <w:rPr>
                <w:sz w:val="24"/>
              </w:rPr>
              <w:t>Adobe Photoshop</w:t>
            </w:r>
            <w:r>
              <w:rPr>
                <w:sz w:val="24"/>
              </w:rPr>
              <w:br/>
            </w:r>
          </w:p>
          <w:p w:rsidR="00755634" w:rsidRDefault="00607228">
            <w:pPr>
              <w:pStyle w:val="normal0"/>
              <w:numPr>
                <w:ilvl w:val="0"/>
                <w:numId w:val="1"/>
              </w:numPr>
              <w:spacing w:after="120"/>
              <w:ind w:left="357" w:hanging="356"/>
            </w:pPr>
            <w:r>
              <w:rPr>
                <w:sz w:val="24"/>
              </w:rPr>
              <w:t>Adobe Acrobat Reader</w:t>
            </w:r>
            <w:r>
              <w:rPr>
                <w:sz w:val="24"/>
              </w:rPr>
              <w:br/>
            </w:r>
          </w:p>
          <w:p w:rsidR="00755634" w:rsidRDefault="00607228">
            <w:pPr>
              <w:pStyle w:val="normal0"/>
              <w:numPr>
                <w:ilvl w:val="0"/>
                <w:numId w:val="1"/>
              </w:numPr>
              <w:spacing w:after="120"/>
              <w:ind w:left="357" w:hanging="356"/>
            </w:pPr>
            <w:r>
              <w:rPr>
                <w:sz w:val="24"/>
              </w:rPr>
              <w:t>Broadband internet connected</w:t>
            </w:r>
            <w:r>
              <w:rPr>
                <w:sz w:val="24"/>
              </w:rPr>
              <w:br/>
            </w:r>
          </w:p>
          <w:p w:rsidR="00755634" w:rsidRDefault="00607228" w:rsidP="009B773C">
            <w:pPr>
              <w:pStyle w:val="normal0"/>
              <w:numPr>
                <w:ilvl w:val="0"/>
                <w:numId w:val="1"/>
              </w:numPr>
              <w:spacing w:after="120"/>
              <w:ind w:left="357" w:hanging="356"/>
            </w:pPr>
            <w:r>
              <w:rPr>
                <w:sz w:val="24"/>
              </w:rPr>
              <w:t>Tr</w:t>
            </w:r>
            <w:r>
              <w:rPr>
                <w:sz w:val="24"/>
              </w:rPr>
              <w:t>ados 2011</w:t>
            </w:r>
          </w:p>
        </w:tc>
      </w:tr>
    </w:tbl>
    <w:p w:rsidR="00755634" w:rsidRDefault="00755634">
      <w:pPr>
        <w:pStyle w:val="normal0"/>
        <w:spacing w:after="200" w:line="276" w:lineRule="auto"/>
        <w:contextualSpacing w:val="0"/>
      </w:pPr>
    </w:p>
    <w:sectPr w:rsidR="00755634" w:rsidSect="00755634">
      <w:headerReference w:type="default" r:id="rId12"/>
      <w:footerReference w:type="default" r:id="rId13"/>
      <w:pgSz w:w="12240" w:h="15840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28" w:rsidRDefault="00607228" w:rsidP="00755634">
      <w:pPr>
        <w:spacing w:after="0" w:line="240" w:lineRule="auto"/>
      </w:pPr>
      <w:r>
        <w:separator/>
      </w:r>
    </w:p>
  </w:endnote>
  <w:endnote w:type="continuationSeparator" w:id="1">
    <w:p w:rsidR="00607228" w:rsidRDefault="00607228" w:rsidP="0075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34" w:rsidRDefault="00755634">
    <w:pPr>
      <w:pStyle w:val="normal0"/>
      <w:contextualSpacing w:val="0"/>
    </w:pPr>
  </w:p>
  <w:p w:rsidR="00755634" w:rsidRDefault="00755634">
    <w:pPr>
      <w:pStyle w:val="normal0"/>
      <w:pBdr>
        <w:top w:val="single" w:sz="4" w:space="1" w:color="auto"/>
      </w:pBdr>
    </w:pPr>
  </w:p>
  <w:p w:rsidR="00755634" w:rsidRDefault="00607228">
    <w:pPr>
      <w:pStyle w:val="normal0"/>
      <w:contextualSpacing w:val="0"/>
    </w:pPr>
    <w:r>
      <w:rPr>
        <w:color w:val="775F55"/>
        <w:sz w:val="20"/>
      </w:rPr>
      <w:t xml:space="preserve">Page </w:t>
    </w:r>
    <w:fldSimple w:instr="PAGE">
      <w:r w:rsidR="009B773C">
        <w:rPr>
          <w:noProof/>
        </w:rPr>
        <w:t>7</w:t>
      </w:r>
    </w:fldSimple>
  </w:p>
  <w:p w:rsidR="00755634" w:rsidRDefault="00755634">
    <w:pPr>
      <w:pStyle w:val="normal0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28" w:rsidRDefault="00607228" w:rsidP="00755634">
      <w:pPr>
        <w:spacing w:after="0" w:line="240" w:lineRule="auto"/>
      </w:pPr>
      <w:r>
        <w:separator/>
      </w:r>
    </w:p>
  </w:footnote>
  <w:footnote w:type="continuationSeparator" w:id="1">
    <w:p w:rsidR="00607228" w:rsidRDefault="00607228" w:rsidP="0075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34" w:rsidRDefault="00607228">
    <w:pPr>
      <w:pStyle w:val="normal0"/>
      <w:spacing w:after="0" w:line="240" w:lineRule="auto"/>
      <w:contextualSpacing w:val="0"/>
    </w:pPr>
    <w:r>
      <w:rPr>
        <w:b/>
        <w:sz w:val="20"/>
      </w:rPr>
      <w:t>Rogeria Pereira</w:t>
    </w:r>
  </w:p>
  <w:p w:rsidR="00755634" w:rsidRDefault="00755634">
    <w:pPr>
      <w:pStyle w:val="normal0"/>
      <w:pBdr>
        <w:top w:val="single" w:sz="4" w:space="1" w:color="auto"/>
      </w:pBdr>
    </w:pPr>
  </w:p>
  <w:p w:rsidR="00755634" w:rsidRDefault="00755634">
    <w:pPr>
      <w:pStyle w:val="normal0"/>
      <w:contextualSpacing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0568"/>
    <w:multiLevelType w:val="multilevel"/>
    <w:tmpl w:val="457E4CE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634"/>
    <w:rsid w:val="00607228"/>
    <w:rsid w:val="00755634"/>
    <w:rsid w:val="009B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55634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755634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755634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755634"/>
    <w:pPr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755634"/>
    <w:pPr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55634"/>
    <w:pPr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55634"/>
    <w:pPr>
      <w:spacing w:after="180" w:line="264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tulo">
    <w:name w:val="Title"/>
    <w:basedOn w:val="normal0"/>
    <w:next w:val="normal0"/>
    <w:rsid w:val="00755634"/>
    <w:pPr>
      <w:spacing w:before="480" w:after="120"/>
    </w:pPr>
    <w:rPr>
      <w:b/>
      <w:sz w:val="72"/>
    </w:rPr>
  </w:style>
  <w:style w:type="paragraph" w:styleId="Subttulo">
    <w:name w:val="Subtitle"/>
    <w:basedOn w:val="normal0"/>
    <w:next w:val="normal0"/>
    <w:rsid w:val="0075563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iap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ystal.rj@gmx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rystal.rj@gm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eria@gmx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812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Rogeria Pereira En 2013.docx</dc:title>
  <cp:lastModifiedBy>Torleif</cp:lastModifiedBy>
  <cp:revision>2</cp:revision>
  <dcterms:created xsi:type="dcterms:W3CDTF">2013-09-27T08:17:00Z</dcterms:created>
  <dcterms:modified xsi:type="dcterms:W3CDTF">2013-09-27T08:24:00Z</dcterms:modified>
</cp:coreProperties>
</file>