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75.0" w:type="dxa"/>
        <w:jc w:val="left"/>
        <w:tblInd w:w="-10.0" w:type="dxa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57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PERSONAL INFORMATION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26"/>
                <w:rtl w:val="0"/>
              </w:rPr>
              <w:t xml:space="preserve">Regina Viviana Valdivieso Paredes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1075944" cy="1316736"/>
                  <wp:effectExtent b="0" l="0" r="0" t="0"/>
                  <wp:docPr id="4" name="image09.jpg"/>
                  <a:graphic>
                    <a:graphicData uri="http://schemas.openxmlformats.org/drawingml/2006/picture">
                      <pic:pic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3167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3164 F.Floor Kucha Tara Chand Darya Ganj, New Delhi, 110002</w:t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b="0" l="0" r="0" t="0"/>
                  <wp:wrapSquare wrapText="bothSides" distB="0" distT="0" distL="114300" distR="11430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Permanent:Mz. G’ Lt. 3, Laurel Rosa, Lima, Lima 34, Peru</w:t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right" w:pos="8218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highlight w:val="white"/>
                <w:rtl w:val="0"/>
              </w:rPr>
              <w:t xml:space="preserve">  </w:t>
            </w:r>
            <w:r w:rsidDel="00000000" w:rsidR="00000000" w:rsidRPr="00000000">
              <w:drawing>
                <wp:inline distB="0" distT="0" distL="0" distR="0">
                  <wp:extent cx="126360" cy="129600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sz w:val="18"/>
                <w:highlight w:val="white"/>
                <w:rtl w:val="0"/>
              </w:rPr>
              <w:t xml:space="preserve">91 7042661509 </w:t>
            </w: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 </w:t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b="0" l="0" r="0" t="0"/>
                  <wp:wrapSquare wrapText="bothSides" distB="0" distT="0" distL="114300" distR="114300"/>
                  <wp:docPr id="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highlight w:val="white"/>
                <w:u w:val="single"/>
                <w:rtl w:val="0"/>
              </w:rPr>
              <w:t xml:space="preserve">regina.valdivieso@gmail.com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b="0" l="0" r="0" t="0"/>
                  <wp:wrapSquare wrapText="bothSides" distB="0" distT="0" distL="114300" distR="114300"/>
                  <wp:docPr id="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85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Sex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| Date of birth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09/09/1991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| Nationality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Peruvian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375.0" w:type="dxa"/>
        <w:jc w:val="left"/>
        <w:tblInd w:w="-10.0" w:type="dxa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Service Administration Bachelor, spanish native speaker with advanced English skills and Microsoft Office at an intermediate level; with interest in the areas of Human Resources, Customer Service and Marketing.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75.0" w:type="dxa"/>
        <w:jc w:val="left"/>
        <w:tblInd w:w="-10.0" w:type="dxa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WORK EXPERIENCE</w:t>
            </w:r>
          </w:p>
        </w:tc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4788000" cy="90000"/>
                  <wp:effectExtent b="0" l="0" r="0" t="0"/>
                  <wp:docPr id="2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375.0" w:type="dxa"/>
        <w:jc w:val="lef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rtl w:val="0"/>
              </w:rPr>
              <w:t xml:space="preserve">03/11/2014 to 04/04/2015</w:t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e4194"/>
                <w:sz w:val="18"/>
                <w:rtl w:val="0"/>
              </w:rPr>
              <w:t xml:space="preserve">24/04/2013 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rtl w:val="0"/>
              </w:rPr>
              <w:t xml:space="preserve"> 15/10/2014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e4194"/>
                <w:sz w:val="18"/>
                <w:rtl w:val="0"/>
              </w:rPr>
              <w:t xml:space="preserve">27/02/2012 to 30/02/2013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rtl w:val="0"/>
              </w:rPr>
              <w:t xml:space="preserve">Showroom Hostess - Sale and Marketing Support (Intern)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Big Boy Toyz Pvt. Ltd.- 391, M.G. Road Ghitorni, New Delhi 110030, India.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Welcome the clients, vendors, staff on arrival and thanking them on departure. Build customer experience, serve customers and be the first point of contact.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Interaction with clients, senders, vendors, staff at the company and facilitating communication between the company and the customer through mails, calls and in person.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Planning organizational operations in the showroom and taking care of smooth functioning of the showroom.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Participation in the company events.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Pre-owned exotic cars dealership.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22"/>
                <w:rtl w:val="0"/>
              </w:rPr>
              <w:t xml:space="preserve">Human Resources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85" w:before="57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VIETTEL PERÚ S.A.C. – 878, 21 Street, Lima, Peru.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of the preparation of labour contracts (new and renewal) in the headquarters.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Preparation of branches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contract inventories for subsequent signature of the General Director at the headquarters.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the smooth conduct of the branches in the hiring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process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. Verification of dates and salaries of new staff.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of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the contracts submission to the Ministry of Labour through the virtual platform (Knowledge of contract mass registration).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Verification and updating the database of nationwide hiring (29 branches).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Update the HR system (StarSoft) in order to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process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the staff payroll. Support i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n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recording the system concepts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for the corresponding payment to workers.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for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e wage increases nationwide, including the upda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in the StarSoft System.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Receiving personnel requirements of the applicants’ areas for recruitment and selection process.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 the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formal staff recruitment and selection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publication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in the online platforms.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Conducting in-depth interviews in English to applicants.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Responsible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of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the inclusion 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 new staff at the headquarters.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Knowledge of the processes “high” and “low” in the T-Register (System to record and report to the Peruvian State about the new workers and job separations).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Personnel disclosure to chiefs for subsequent Request for Wage Increase, Renovation and / or non-renewal of the employees.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Management of virtual training platform and evaluation (E-Learning) by setting examinations for commercial staff.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Preparation of short-term training plans for commercial staff.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Prepare the reports on training outcomes through the information provided by the E-Learning system.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Support the submission of documentation for audits by the Ministry of Labour.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0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highlight w:val="white"/>
                <w:rtl w:val="0"/>
              </w:rPr>
              <w:t xml:space="preserve">Telecommunication 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0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22"/>
                <w:rtl w:val="0"/>
              </w:rPr>
              <w:t xml:space="preserve">Human Resources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YAMAHA MOTOR DEL PERÚ S.A.C.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Support the recruitment process with the publications in the job web pages and carrying the curriculum filter.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Support the interviews and psychometric assessments.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Conducting employment reference requests.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Participation in meetings of analysis and improvement of the area.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Management and control of the staff assistance system.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Support the various welfare activities organized by the area.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Registration of staff training.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Preparation of internal company Manuals.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Verification of required documents for new personal inclusion.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503" w:hanging="360"/>
              <w:contextualSpacing w:val="1"/>
              <w:rPr>
                <w:b w:val="0"/>
                <w:color w:val="3f3a38"/>
                <w:sz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Support the official documents translation.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highlight w:val="white"/>
                <w:rtl w:val="0"/>
              </w:rPr>
              <w:t xml:space="preserve">Sale, maintenance and repair services of motorcycles.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375.0" w:type="dxa"/>
        <w:jc w:val="righ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EDUCATION AND TRAINING</w:t>
            </w:r>
          </w:p>
        </w:tc>
        <w:tc>
          <w:tcPr>
            <w:shd w:fill="ffffff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4788000" cy="90000"/>
                  <wp:effectExtent b="0" l="0" r="0" t="0"/>
                  <wp:docPr id="1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376.000000000002" w:type="dxa"/>
        <w:jc w:val="left"/>
        <w:tblInd w:w="-10.0" w:type="dxa"/>
        <w:tblLayout w:type="fixed"/>
        <w:tblLook w:val="0000"/>
      </w:tblPr>
      <w:tblGrid>
        <w:gridCol w:w="2835"/>
        <w:gridCol w:w="6237"/>
        <w:gridCol w:w="1304"/>
        <w:tblGridChange w:id="0">
          <w:tblGrid>
            <w:gridCol w:w="2835"/>
            <w:gridCol w:w="6237"/>
            <w:gridCol w:w="1304"/>
          </w:tblGrid>
        </w:tblGridChange>
      </w:tblGrid>
      <w:tr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e4194"/>
                <w:sz w:val="18"/>
                <w:rtl w:val="0"/>
              </w:rPr>
              <w:t xml:space="preserve">2008-201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22"/>
                <w:rtl w:val="0"/>
              </w:rPr>
              <w:t xml:space="preserve">Service Administration – Universidad de Piura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62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85" w:before="57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Bachelor, Service Administration (Service Management Specialty).</w:t>
            </w:r>
          </w:p>
        </w:tc>
      </w:tr>
      <w:t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bidi w:val="0"/>
        <w:tblW w:w="10375.0" w:type="dxa"/>
        <w:jc w:val="left"/>
        <w:tblInd w:w="-10.0" w:type="dxa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PERSONAL SKILLS</w:t>
            </w:r>
          </w:p>
        </w:tc>
        <w:tc>
          <w:tcPr>
            <w:shd w:fill="ffffff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4788000" cy="90000"/>
                  <wp:effectExtent b="0" l="0" r="0" t="0"/>
                  <wp:docPr id="3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1544"/>
        <w:gridCol w:w="1498"/>
        <w:gridCol w:w="1499"/>
        <w:gridCol w:w="1500"/>
        <w:gridCol w:w="1500"/>
        <w:tblGridChange w:id="0">
          <w:tblGrid>
            <w:gridCol w:w="2835"/>
            <w:gridCol w:w="1544"/>
            <w:gridCol w:w="1498"/>
            <w:gridCol w:w="1499"/>
            <w:gridCol w:w="1500"/>
            <w:gridCol w:w="1500"/>
          </w:tblGrid>
        </w:tblGridChange>
      </w:tblGrid>
      <w:tr>
        <w:trPr>
          <w:trHeight w:val="24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Mother tongue(s)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Spanish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6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Other language(s)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rtl w:val="0"/>
              </w:rPr>
              <w:t xml:space="preserve">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6c6c6" w:space="0" w:sz="8" w:val="single"/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6c6c6" w:space="0" w:sz="8" w:val="single"/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rtl w:val="0"/>
              </w:rPr>
              <w:t xml:space="preserve">Spoken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rtl w:val="0"/>
              </w:rPr>
              <w:t xml:space="preserve">Spoken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6c6c6" w:space="0" w:sz="8" w:val="single"/>
              <w:bottom w:color="c6c6c6" w:space="0" w:sz="8" w:val="single"/>
            </w:tcBorders>
            <w:shd w:fill="ffffff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6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Advanced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Advanced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Advanced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Advanced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Advanced</w:t>
            </w:r>
          </w:p>
        </w:tc>
      </w:tr>
      <w:tr>
        <w:trPr>
          <w:trHeight w:val="28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Intermediate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Intermediate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Intermediate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Intermediate</w:t>
            </w:r>
          </w:p>
        </w:tc>
        <w:tc>
          <w:tcPr>
            <w:tcBorders>
              <w:bottom w:color="c6c6c6" w:space="0" w:sz="4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rtl w:val="0"/>
              </w:rPr>
              <w:t xml:space="preserve">Intermediate</w:t>
            </w:r>
          </w:p>
        </w:tc>
      </w:tr>
      <w:tr>
        <w:trPr>
          <w:trHeight w:val="2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6c6c6" w:space="0" w:sz="8" w:val="single"/>
            </w:tcBorders>
            <w:shd w:fill="ececec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6"/>
                <w:rtl w:val="0"/>
              </w:rPr>
              <w:t xml:space="preserve">DELF A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Good listening skills gained through my experience as human resources assistant and Trainee. It demands to listen, understand the workers’ necessity, and help them in a proper way.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 Empathy and respect even if I disagree with an employer, co-worker or employees’ idea, letting them know about my point of view to be consider too. ▪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Confidence while trying to convey my idea or point of view.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375.084345802286" w:type="dxa"/>
        <w:jc w:val="left"/>
        <w:tblInd w:w="-10.0" w:type="dxa"/>
        <w:tblLayout w:type="fixed"/>
        <w:tblLook w:val="0000"/>
      </w:tblPr>
      <w:tblGrid>
        <w:gridCol w:w="2068.9136888591584"/>
        <w:gridCol w:w="8306.170656943126"/>
        <w:tblGridChange w:id="0">
          <w:tblGrid>
            <w:gridCol w:w="2068.9136888591584"/>
            <w:gridCol w:w="8306.170656943126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Organisational / managerial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Attention to detail in every task assigned.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Good analysis skills gained through the everyday situations that required a prompt and wise decision.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Creativity to suggest improvements in the department’s processes.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Collaboration in any pending task of the teamwork/Department. ▪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Commitment in the task and responsibility assigned.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Ability to learn and take on new challenges leading to professional improvement.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7541"/>
        <w:tblGridChange w:id="0">
          <w:tblGrid>
            <w:gridCol w:w="2835"/>
            <w:gridCol w:w="7541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Job-related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Adapting new procedures according to reality through a feedback to the head or immediate superior.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Analyzing data to present reports about staff nationwide. (Salaries, Increase of Salaries, Position Changes and promotions, weekly task compliance). ▪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Coping with deadlines. (Contracts need to be presented to Labour Ministry every month. Conditional to penalty payment for date infringement).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rtl w:val="0"/>
              </w:rPr>
              <w:t xml:space="preserve"> Organizing tasks and prioritizing work due to the demanding assignments or support request from another units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7541"/>
        <w:tblGridChange w:id="0">
          <w:tblGrid>
            <w:gridCol w:w="2835"/>
            <w:gridCol w:w="7541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Computer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rtl w:val="0"/>
              </w:rPr>
              <w:t xml:space="preserve">ood command of Microsoft Office™ tools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7541"/>
        <w:tblGridChange w:id="0">
          <w:tblGrid>
            <w:gridCol w:w="2835"/>
            <w:gridCol w:w="7541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Other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3f3a38"/>
                <w:sz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Electronic organ and violin.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7541"/>
        <w:tblGridChange w:id="0">
          <w:tblGrid>
            <w:gridCol w:w="2835"/>
            <w:gridCol w:w="7541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0375.0" w:type="dxa"/>
        <w:jc w:val="righ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ADDITIONAL INFORMATION</w:t>
            </w:r>
          </w:p>
        </w:tc>
        <w:tc>
          <w:tcPr>
            <w:shd w:fill="ffffff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4788000" cy="90000"/>
                  <wp:effectExtent b="0" l="0" r="0" t="0"/>
                  <wp:docPr id="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10376.0" w:type="dxa"/>
        <w:jc w:val="left"/>
        <w:tblInd w:w="-10.0" w:type="dxa"/>
        <w:tblLayout w:type="fixed"/>
        <w:tblLook w:val="0000"/>
      </w:tblPr>
      <w:tblGrid>
        <w:gridCol w:w="2835"/>
        <w:gridCol w:w="7541"/>
        <w:tblGridChange w:id="0">
          <w:tblGrid>
            <w:gridCol w:w="2835"/>
            <w:gridCol w:w="7541"/>
          </w:tblGrid>
        </w:tblGridChange>
      </w:tblGrid>
      <w:tr>
        <w:trPr>
          <w:trHeight w:val="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rtl w:val="0"/>
              </w:rPr>
              <w:t xml:space="preserve">Honours and 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3" w:line="240" w:lineRule="auto"/>
              <w:ind w:right="283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INEI- National Institute of Neoplastic Diseases: Participation in the Update Project about the Assistance Processes of Surgery Center developed from 21 May to 27 June 2012.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28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rtl w:val="0"/>
              </w:rPr>
              <w:t xml:space="preserve">Being located in the upper fifth along the university studies.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1474" w:top="1927" w:left="850" w:right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left" w:pos="2835"/>
        <w:tab w:val="right" w:pos="10375"/>
      </w:tabs>
      <w:spacing w:after="624" w:before="0" w:line="240" w:lineRule="auto"/>
      <w:contextualSpacing w:val="0"/>
    </w:pPr>
    <w:r w:rsidDel="00000000" w:rsidR="00000000" w:rsidRPr="00000000">
      <w:rPr>
        <w:rFonts w:ascii="ArialMT" w:cs="ArialMT" w:eastAsia="ArialMT" w:hAnsi="ArialMT"/>
        <w:b w:val="0"/>
        <w:color w:val="26b4ea"/>
        <w:sz w:val="14"/>
        <w:rtl w:val="0"/>
      </w:rPr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color w:val="1593cb"/>
        <w:sz w:val="14"/>
        <w:rtl w:val="0"/>
      </w:rPr>
      <w:t xml:space="preserve">© European Union, 2002-2013 | http://europass.cedefop.europa.eu 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color w:val="26b4ea"/>
        <w:sz w:val="14"/>
        <w:rtl w:val="0"/>
      </w:rPr>
      <w:t xml:space="preserve"> </w:t>
    </w:r>
    <w:fldSimple w:instr="PAGE" w:fldLock="0" w:dirty="0">
      <w:r w:rsidDel="00000000" w:rsidR="00000000" w:rsidRPr="00000000">
        <w:rPr>
          <w:rFonts w:ascii="ArialMT" w:cs="ArialMT" w:eastAsia="ArialMT" w:hAnsi="ArialMT"/>
          <w:b w:val="0"/>
          <w:color w:val="1593cb"/>
          <w:sz w:val="14"/>
        </w:rPr>
      </w:r>
    </w:fldSimple>
    <w:r w:rsidDel="00000000" w:rsidR="00000000" w:rsidRPr="00000000">
      <w:rPr>
        <w:rFonts w:ascii="ArialMT" w:cs="ArialMT" w:eastAsia="ArialMT" w:hAnsi="ArialMT"/>
        <w:b w:val="0"/>
        <w:color w:val="1593cb"/>
        <w:sz w:val="14"/>
        <w:rtl w:val="0"/>
      </w:rPr>
      <w:t xml:space="preserve"> / </w:t>
    </w:r>
    <w:fldSimple w:instr="NUMPAGES" w:fldLock="0" w:dirty="0">
      <w:r w:rsidDel="00000000" w:rsidR="00000000" w:rsidRPr="00000000">
        <w:rPr>
          <w:rFonts w:ascii="ArialMT" w:cs="ArialMT" w:eastAsia="ArialMT" w:hAnsi="ArialMT"/>
          <w:b w:val="0"/>
          <w:color w:val="1593cb"/>
          <w:sz w:val="14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left" w:pos="2835"/>
        <w:tab w:val="right" w:pos="10205"/>
      </w:tabs>
      <w:spacing w:after="0" w:before="68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0"/>
        <w:color w:val="1593cb"/>
        <w:sz w:val="20"/>
        <w:rtl w:val="0"/>
      </w:rPr>
      <w:tab/>
      <w:t xml:space="preserve">Regina Viviana Valdivieso Paredes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3" w:firstLine="142.9999999999999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223" w:firstLine="863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943" w:firstLine="1583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663" w:firstLine="2303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83" w:firstLine="3023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103" w:firstLine="3743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823" w:firstLine="4463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543" w:firstLine="5183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263" w:firstLine="5903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2" Type="http://schemas.openxmlformats.org/officeDocument/2006/relationships/fontTable" Target="fontTable.xml"/><Relationship Id="rId12" Type="http://schemas.openxmlformats.org/officeDocument/2006/relationships/image" Target="media/image08.png"/><Relationship Id="rId13" Type="http://schemas.openxmlformats.org/officeDocument/2006/relationships/image" Target="media/image14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06.png"/><Relationship Id="rId3" Type="http://schemas.openxmlformats.org/officeDocument/2006/relationships/numbering" Target="numbering.xml"/><Relationship Id="rId11" Type="http://schemas.openxmlformats.org/officeDocument/2006/relationships/image" Target="media/image04.png"/><Relationship Id="rId9" Type="http://schemas.openxmlformats.org/officeDocument/2006/relationships/image" Target="media/image13.png"/><Relationship Id="rId6" Type="http://schemas.openxmlformats.org/officeDocument/2006/relationships/image" Target="media/image10.png"/><Relationship Id="rId5" Type="http://schemas.openxmlformats.org/officeDocument/2006/relationships/image" Target="media/image09.jpg"/><Relationship Id="rId8" Type="http://schemas.openxmlformats.org/officeDocument/2006/relationships/image" Target="media/image11.png"/><Relationship Id="rId7" Type="http://schemas.openxmlformats.org/officeDocument/2006/relationships/image" Target="media/image12.png"/></Relationships>
</file>