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66" w:rsidRDefault="005A79C7">
      <w:pPr>
        <w:pStyle w:val="a3"/>
        <w:pBdr>
          <w:bottom w:val="single" w:sz="12" w:space="1" w:color="auto"/>
        </w:pBdr>
        <w:rPr>
          <w:sz w:val="24"/>
        </w:rPr>
      </w:pPr>
      <w:bookmarkStart w:id="0" w:name="_GoBack"/>
      <w:bookmarkEnd w:id="0"/>
      <w:r>
        <w:rPr>
          <w:sz w:val="24"/>
          <w:lang w:val="en-US"/>
        </w:rPr>
        <w:t xml:space="preserve">Good day! </w:t>
      </w:r>
      <w:r w:rsidR="003C5258">
        <w:rPr>
          <w:sz w:val="24"/>
          <w:lang w:val="en-US"/>
        </w:rPr>
        <w:t xml:space="preserve">Your attention is presented </w:t>
      </w:r>
      <w:r w:rsidRPr="00480F66">
        <w:rPr>
          <w:rFonts w:ascii="RomanC" w:hAnsi="RomanC"/>
          <w:b/>
          <w:sz w:val="24"/>
          <w:szCs w:val="24"/>
          <w:lang w:val="en-US"/>
        </w:rPr>
        <w:t>curriculum vitae</w:t>
      </w:r>
      <w:r w:rsidR="00480F66" w:rsidRPr="00480F66">
        <w:rPr>
          <w:rFonts w:ascii="RomanC" w:hAnsi="RomanC" w:cs="Times New Roman CYR"/>
          <w:b/>
          <w:sz w:val="22"/>
          <w:szCs w:val="22"/>
          <w:lang w:val="en-GB"/>
        </w:rPr>
        <w:t xml:space="preserve"> </w:t>
      </w:r>
      <w:r>
        <w:rPr>
          <w:sz w:val="24"/>
          <w:lang w:val="en-US"/>
        </w:rPr>
        <w:t xml:space="preserve">for the </w:t>
      </w:r>
      <w:r w:rsidR="0052214D">
        <w:rPr>
          <w:sz w:val="24"/>
          <w:lang w:val="en-US"/>
        </w:rPr>
        <w:t>projects</w:t>
      </w:r>
      <w:r>
        <w:rPr>
          <w:sz w:val="24"/>
          <w:lang w:val="en-US"/>
        </w:rPr>
        <w:t xml:space="preserve">. With respect, </w:t>
      </w:r>
    </w:p>
    <w:p w:rsidR="005A79C7" w:rsidRPr="005C6ED0" w:rsidRDefault="005A79C7" w:rsidP="009205C0">
      <w:pPr>
        <w:pStyle w:val="a3"/>
        <w:pBdr>
          <w:bottom w:val="single" w:sz="12" w:space="1" w:color="auto"/>
        </w:pBdr>
        <w:rPr>
          <w:lang w:val="fr-FR"/>
        </w:rPr>
      </w:pPr>
      <w:r w:rsidRPr="00480F66">
        <w:rPr>
          <w:rFonts w:ascii="Verdana" w:hAnsi="Verdana"/>
          <w:b/>
          <w:sz w:val="24"/>
          <w:szCs w:val="24"/>
          <w:lang w:val="en-US"/>
        </w:rPr>
        <w:t>Efremov Eugene Petrovitch</w:t>
      </w:r>
      <w:r>
        <w:rPr>
          <w:sz w:val="24"/>
          <w:lang w:val="en-US"/>
        </w:rPr>
        <w:t>.</w:t>
      </w:r>
      <w:r w:rsidRPr="00F0160B">
        <w:rPr>
          <w:sz w:val="24"/>
          <w:lang w:val="en-GB"/>
        </w:rPr>
        <w:t xml:space="preserve"> </w:t>
      </w:r>
      <w:r w:rsidRPr="005C6ED0">
        <w:rPr>
          <w:lang w:val="fr-FR"/>
        </w:rPr>
        <w:t xml:space="preserve">                                               </w:t>
      </w:r>
      <w:r w:rsidR="005C6ED0" w:rsidRPr="005C6ED0">
        <w:rPr>
          <w:lang w:val="fr-FR"/>
        </w:rPr>
        <w:t xml:space="preserve">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7513"/>
      </w:tblGrid>
      <w:tr w:rsidR="001733ED" w:rsidRPr="00CC73B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1733ED" w:rsidRDefault="006F071F">
            <w:pPr>
              <w:pStyle w:val="2"/>
              <w:rPr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3925" cy="1190625"/>
                  <wp:effectExtent l="0" t="0" r="0" b="0"/>
                  <wp:docPr id="1" name="Рисунок 1" descr="Ефремов Евгений переводчик фр-англ +79161158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фремов Евгений переводчик фр-англ +79161158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2"/>
          </w:tcPr>
          <w:p w:rsidR="001733ED" w:rsidRDefault="001733ED" w:rsidP="001733ED">
            <w:pPr>
              <w:ind w:left="-43" w:right="-2"/>
              <w:rPr>
                <w:sz w:val="24"/>
                <w:lang w:val="fr-FR"/>
              </w:rPr>
            </w:pPr>
          </w:p>
          <w:p w:rsidR="001733ED" w:rsidRDefault="001733ED" w:rsidP="001733ED">
            <w:pPr>
              <w:ind w:left="-43" w:right="-2"/>
              <w:rPr>
                <w:sz w:val="24"/>
                <w:lang w:val="fr-FR"/>
              </w:rPr>
            </w:pPr>
          </w:p>
          <w:p w:rsidR="001733ED" w:rsidRPr="0084062A" w:rsidRDefault="001733ED" w:rsidP="001733ED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right="-2"/>
              <w:jc w:val="center"/>
              <w:rPr>
                <w:sz w:val="24"/>
                <w:lang w:val="fr-FR"/>
              </w:rPr>
            </w:pPr>
            <w:r w:rsidRPr="0084062A">
              <w:rPr>
                <w:sz w:val="24"/>
                <w:lang w:val="fr-FR"/>
              </w:rPr>
              <w:t xml:space="preserve">Mob.: </w:t>
            </w:r>
            <w:r w:rsidR="00B73AAD" w:rsidRPr="0084062A">
              <w:rPr>
                <w:sz w:val="24"/>
                <w:lang w:val="fr-FR"/>
              </w:rPr>
              <w:t>+7</w:t>
            </w:r>
            <w:r w:rsidR="009205C0" w:rsidRPr="0084062A">
              <w:rPr>
                <w:sz w:val="24"/>
                <w:lang w:val="fr-FR"/>
              </w:rPr>
              <w:t>916-115-86-93</w:t>
            </w:r>
            <w:r w:rsidRPr="0084062A">
              <w:rPr>
                <w:sz w:val="24"/>
                <w:lang w:val="fr-FR"/>
              </w:rPr>
              <w:t xml:space="preserve">      e-mail: </w:t>
            </w:r>
            <w:hyperlink r:id="rId6" w:history="1">
              <w:r w:rsidR="0084062A" w:rsidRPr="0084062A">
                <w:rPr>
                  <w:rStyle w:val="a5"/>
                  <w:rFonts w:ascii="Arial Black" w:hAnsi="Arial Black"/>
                  <w:sz w:val="24"/>
                  <w:lang w:val="fr-FR"/>
                </w:rPr>
                <w:t>e.efremov.translator@gmail.com</w:t>
              </w:r>
            </w:hyperlink>
          </w:p>
          <w:p w:rsidR="0007553B" w:rsidRPr="0084062A" w:rsidRDefault="0007553B" w:rsidP="001733ED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right="-2"/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Pr="0007553B">
                <w:rPr>
                  <w:rStyle w:val="a5"/>
                  <w:rFonts w:ascii="Arial Black" w:hAnsi="Arial Black"/>
                  <w:sz w:val="24"/>
                  <w:szCs w:val="24"/>
                  <w:lang w:val="en-US"/>
                </w:rPr>
                <w:t>www.evgeniyefremov.ru</w:t>
              </w:r>
            </w:hyperlink>
          </w:p>
          <w:p w:rsidR="0084062A" w:rsidRPr="00CC73BA" w:rsidRDefault="0084062A" w:rsidP="0084062A">
            <w:pPr>
              <w:numPr>
                <w:ilvl w:val="0"/>
                <w:numId w:val="15"/>
              </w:numPr>
              <w:ind w:right="-2"/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Pr="00483E31">
                <w:rPr>
                  <w:rStyle w:val="a5"/>
                  <w:sz w:val="24"/>
                  <w:szCs w:val="24"/>
                  <w:lang w:val="en-US"/>
                </w:rPr>
                <w:t>http://www.proz.com/translator/936341</w:t>
              </w:r>
            </w:hyperlink>
            <w:r>
              <w:rPr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483E31">
                <w:rPr>
                  <w:rStyle w:val="a5"/>
                  <w:sz w:val="24"/>
                  <w:szCs w:val="24"/>
                  <w:lang w:val="en-US"/>
                </w:rPr>
                <w:t>http://www.proz.com/wwa/936341</w:t>
              </w:r>
            </w:hyperlink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CC73BA" w:rsidRPr="00CC73BA" w:rsidRDefault="00CC73BA" w:rsidP="001733ED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right="-2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fr-FR"/>
              </w:rPr>
              <w:t>skype evgen.efremov.biz</w:t>
            </w:r>
          </w:p>
        </w:tc>
      </w:tr>
      <w:tr w:rsidR="005A79C7" w:rsidRPr="00F0160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5A79C7" w:rsidRDefault="005A79C7">
            <w:pPr>
              <w:pStyle w:val="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Goal</w:t>
            </w:r>
          </w:p>
        </w:tc>
        <w:tc>
          <w:tcPr>
            <w:tcW w:w="8930" w:type="dxa"/>
            <w:gridSpan w:val="2"/>
          </w:tcPr>
          <w:p w:rsidR="005A79C7" w:rsidRPr="00F0160B" w:rsidRDefault="00480F66" w:rsidP="00724002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left="317" w:right="-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I’m se</w:t>
            </w:r>
            <w:r w:rsidR="005C6ED0">
              <w:rPr>
                <w:sz w:val="24"/>
                <w:lang w:val="en-US"/>
              </w:rPr>
              <w:t>arching the work of interpreter in different projects – not permanent work</w:t>
            </w:r>
          </w:p>
        </w:tc>
      </w:tr>
      <w:tr w:rsidR="005A79C7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5A79C7" w:rsidRDefault="005A79C7">
            <w:pPr>
              <w:pStyle w:val="3"/>
            </w:pPr>
            <w:r>
              <w:t>Education</w:t>
            </w:r>
          </w:p>
        </w:tc>
        <w:tc>
          <w:tcPr>
            <w:tcW w:w="8930" w:type="dxa"/>
            <w:gridSpan w:val="2"/>
          </w:tcPr>
          <w:p w:rsidR="005A79C7" w:rsidRPr="00F0160B" w:rsidRDefault="005A79C7">
            <w:pPr>
              <w:numPr>
                <w:ilvl w:val="0"/>
                <w:numId w:val="7"/>
              </w:numPr>
              <w:ind w:right="-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T.Chevtchenko National univers</w:t>
            </w:r>
            <w:r w:rsidR="002B368F">
              <w:rPr>
                <w:sz w:val="24"/>
                <w:lang w:val="en-US"/>
              </w:rPr>
              <w:t xml:space="preserve">ity, graduate 2003, diploma of </w:t>
            </w:r>
            <w:r>
              <w:rPr>
                <w:sz w:val="24"/>
                <w:lang w:val="en-US"/>
              </w:rPr>
              <w:t>specialist in translation. French and English languages.</w:t>
            </w:r>
            <w:r w:rsidR="00F0160B">
              <w:rPr>
                <w:sz w:val="24"/>
                <w:lang w:val="en-US"/>
              </w:rPr>
              <w:t xml:space="preserve"> </w:t>
            </w:r>
          </w:p>
        </w:tc>
      </w:tr>
      <w:tr w:rsidR="005A79C7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5A79C7" w:rsidRDefault="005A79C7">
            <w:pPr>
              <w:pStyle w:val="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birth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5A79C7" w:rsidRPr="00F0160B" w:rsidRDefault="002B368F">
            <w:pPr>
              <w:numPr>
                <w:ilvl w:val="0"/>
                <w:numId w:val="4"/>
              </w:numPr>
              <w:ind w:right="-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22</w:t>
            </w:r>
            <w:r w:rsidR="005A79C7" w:rsidRPr="00F0160B">
              <w:rPr>
                <w:sz w:val="24"/>
                <w:lang w:val="en-GB"/>
              </w:rPr>
              <w:t>.07.81.</w:t>
            </w:r>
          </w:p>
        </w:tc>
      </w:tr>
      <w:tr w:rsidR="005A79C7" w:rsidRPr="00F016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5A79C7" w:rsidRDefault="005A79C7">
            <w:pPr>
              <w:ind w:right="-2"/>
              <w:jc w:val="both"/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Experience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A79C7" w:rsidRPr="004D6812" w:rsidRDefault="004D6812">
            <w:pPr>
              <w:ind w:right="-2"/>
              <w:jc w:val="both"/>
              <w:rPr>
                <w:sz w:val="24"/>
                <w:szCs w:val="24"/>
                <w:lang w:val="en-US"/>
              </w:rPr>
            </w:pPr>
            <w:r w:rsidRPr="004D6812">
              <w:rPr>
                <w:sz w:val="24"/>
                <w:szCs w:val="24"/>
                <w:lang w:val="en-US"/>
              </w:rPr>
              <w:t>2014-201</w:t>
            </w:r>
            <w:r w:rsidR="008406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79C7" w:rsidRPr="00443F6C" w:rsidRDefault="004D6812" w:rsidP="000B7ACD">
            <w:pPr>
              <w:rPr>
                <w:sz w:val="24"/>
                <w:szCs w:val="24"/>
                <w:lang w:val="en-US"/>
              </w:rPr>
            </w:pPr>
            <w:r w:rsidRPr="004D681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Renault,</w:t>
            </w:r>
            <w:r w:rsidRPr="004D681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D681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Auchan, Diplomatic Academy of Russia, General Electric, Avtodor (National infrastructure construction company), RJD (National railway company)</w:t>
            </w:r>
            <w:r w:rsidRPr="004D681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en-US"/>
              </w:rPr>
              <w:t>, etc</w:t>
            </w:r>
            <w:r w:rsidR="0084062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84062A" w:rsidRPr="00443F6C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Working on big project of medical encyclopedia </w:t>
            </w:r>
            <w:r w:rsidR="00443F6C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translation (EN-RU)</w:t>
            </w:r>
            <w:r w:rsidR="0084062A" w:rsidRPr="00443F6C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443F6C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for </w:t>
            </w:r>
            <w:r w:rsidR="0084062A" w:rsidRPr="00443F6C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Merck Publishing) via the subcontractor (client is very satisfied with the quality), forming\coordinating the team of translators with medical education</w:t>
            </w:r>
            <w:r w:rsidR="00443F6C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F37E20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also for</w:t>
            </w:r>
            <w:r w:rsidR="00443F6C" w:rsidRPr="00443F6C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medical studies translation for Sanofi Aventis (via the subcontractor)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D6812" w:rsidRDefault="004D6812">
            <w:pPr>
              <w:ind w:right="-2"/>
              <w:jc w:val="both"/>
              <w:rPr>
                <w:sz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D6812" w:rsidRPr="000B7ACD" w:rsidRDefault="004D6812" w:rsidP="00A90C84">
            <w:pPr>
              <w:ind w:right="-2"/>
              <w:jc w:val="both"/>
              <w:rPr>
                <w:sz w:val="24"/>
                <w:szCs w:val="24"/>
                <w:lang w:val="en-US"/>
              </w:rPr>
            </w:pPr>
            <w:r w:rsidRPr="000B7ACD">
              <w:rPr>
                <w:sz w:val="24"/>
                <w:szCs w:val="24"/>
                <w:lang w:val="en-US"/>
              </w:rPr>
              <w:t>Since 2004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812" w:rsidRPr="000B7ACD" w:rsidRDefault="004D6812" w:rsidP="00A90C84">
            <w:pPr>
              <w:rPr>
                <w:sz w:val="24"/>
                <w:szCs w:val="24"/>
                <w:lang w:val="en-US"/>
              </w:rPr>
            </w:pPr>
            <w:r w:rsidRPr="000B7ACD">
              <w:rPr>
                <w:sz w:val="24"/>
                <w:szCs w:val="24"/>
                <w:lang w:val="en-GB"/>
              </w:rPr>
              <w:t>F</w:t>
            </w:r>
            <w:r>
              <w:rPr>
                <w:sz w:val="24"/>
                <w:szCs w:val="24"/>
                <w:lang w:val="en-GB"/>
              </w:rPr>
              <w:t>reelance</w:t>
            </w:r>
            <w:r w:rsidRPr="0084062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translations</w:t>
            </w:r>
            <w:r w:rsidRPr="000B7ACD">
              <w:rPr>
                <w:sz w:val="24"/>
                <w:szCs w:val="24"/>
                <w:lang w:val="en-GB"/>
              </w:rPr>
              <w:t xml:space="preserve">. </w:t>
            </w:r>
            <w:r w:rsidRPr="000B7ACD">
              <w:rPr>
                <w:sz w:val="24"/>
                <w:szCs w:val="24"/>
                <w:lang w:val="en-US"/>
              </w:rPr>
              <w:t>My specialities - marketing/advertising (working in these areas as a manager), business matters (meetings, exhibitions, conferences), technical translations (I'm the military translator by education), finance/banking/investment areas, as well as law/contracts subjects.  Clients: Inbev, Tata group, Tripolskiy package mill, Ceric group, Swiss Capital, Entreprise Rone-Alpes International (ERAI), Cotracs, NATUREX, Agritel, WAPES (World Association of Public Employment Service), Renault, Auchan, National Defence Academy of Ukraine</w:t>
            </w:r>
            <w:r w:rsidRPr="000B7ACD">
              <w:rPr>
                <w:rFonts w:ascii="Tahoma" w:hAnsi="Tahoma" w:cs="Tahoma"/>
                <w:sz w:val="24"/>
                <w:szCs w:val="24"/>
                <w:lang w:val="en-US"/>
              </w:rPr>
              <w:t> 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D6812" w:rsidRDefault="004D6812">
            <w:pPr>
              <w:ind w:right="-2"/>
              <w:jc w:val="both"/>
              <w:rPr>
                <w:sz w:val="24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D6812" w:rsidRDefault="004D6812" w:rsidP="007024F3">
            <w:pPr>
              <w:ind w:right="-2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Since July 2003 till November 2004 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812" w:rsidRPr="007024F3" w:rsidRDefault="004D6812" w:rsidP="007024F3">
            <w:pPr>
              <w:pStyle w:val="a4"/>
              <w:numPr>
                <w:ilvl w:val="0"/>
                <w:numId w:val="10"/>
              </w:numPr>
              <w:ind w:right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 xml:space="preserve">Translator, work in the Section of international cooperation in the National defense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  <w:lang w:val="en-US"/>
                  </w:rPr>
                  <w:t>academy</w:t>
                </w:r>
              </w:smartTag>
              <w:r>
                <w:rPr>
                  <w:sz w:val="24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4"/>
                    <w:lang w:val="en-US"/>
                  </w:rPr>
                  <w:t>Ukraine</w:t>
                </w:r>
              </w:smartTag>
            </w:smartTag>
            <w:r>
              <w:rPr>
                <w:sz w:val="24"/>
                <w:lang w:val="en-US"/>
              </w:rPr>
              <w:t>. Oral and writing translation, taking part in cooperation between different military and state bodies, embassies.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D6812" w:rsidRPr="00F0160B" w:rsidRDefault="004D6812">
            <w:pPr>
              <w:ind w:right="-2"/>
              <w:jc w:val="both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D6812" w:rsidRDefault="004D6812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March</w:t>
            </w:r>
            <w:r>
              <w:rPr>
                <w:sz w:val="24"/>
              </w:rPr>
              <w:t xml:space="preserve"> 2003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812" w:rsidRPr="00F0160B" w:rsidRDefault="004D6812">
            <w:pPr>
              <w:pStyle w:val="a4"/>
              <w:numPr>
                <w:ilvl w:val="0"/>
                <w:numId w:val="10"/>
              </w:numPr>
              <w:ind w:right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Probation in Department of international cooperation, section – Europe, work with French and English languages, translation of treaties concerning military relationship of Ukraine with European countries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D6812" w:rsidRPr="00F0160B" w:rsidRDefault="004D6812">
            <w:pPr>
              <w:ind w:right="-2"/>
              <w:jc w:val="both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D6812" w:rsidRDefault="004D6812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21.10.02.- 23.10.02.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812" w:rsidRPr="00F0160B" w:rsidRDefault="004D6812">
            <w:pPr>
              <w:pStyle w:val="a4"/>
              <w:numPr>
                <w:ilvl w:val="0"/>
                <w:numId w:val="10"/>
              </w:numPr>
              <w:ind w:right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 xml:space="preserve">Providing translation for the french–britain-ukrainian seminar designed to experience exchange of lessons learned from UN peacekeeping operations 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D6812" w:rsidRPr="00F0160B" w:rsidRDefault="004D6812">
            <w:pPr>
              <w:ind w:right="-2"/>
              <w:jc w:val="both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D6812" w:rsidRDefault="004D6812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29.04.02.-30.06.02.</w:t>
            </w:r>
          </w:p>
          <w:p w:rsidR="004D6812" w:rsidRDefault="004D6812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812" w:rsidRPr="00F0160B" w:rsidRDefault="004D6812">
            <w:pPr>
              <w:numPr>
                <w:ilvl w:val="0"/>
                <w:numId w:val="10"/>
              </w:numPr>
              <w:ind w:right="-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 xml:space="preserve">Work on training area on French exercises </w:t>
            </w:r>
            <w:r>
              <w:rPr>
                <w:sz w:val="24"/>
                <w:lang w:val="uk-UA"/>
              </w:rPr>
              <w:t>“Chirokiy lan - 2002”, oral and writing translation, work with chiefs of staffs, technical documentation, tour-guiding in Mikolaiv.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D6812" w:rsidRPr="00F0160B" w:rsidRDefault="004D6812">
            <w:pPr>
              <w:ind w:right="-2"/>
              <w:jc w:val="both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D6812" w:rsidRDefault="004D6812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29.03.02.-10.04.02.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812" w:rsidRPr="00F0160B" w:rsidRDefault="004D6812">
            <w:pPr>
              <w:numPr>
                <w:ilvl w:val="0"/>
                <w:numId w:val="9"/>
              </w:numPr>
              <w:ind w:right="-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 xml:space="preserve">Reception of the French helicopters carrier </w:t>
            </w:r>
            <w:r>
              <w:rPr>
                <w:sz w:val="24"/>
                <w:lang w:val="uk-UA"/>
              </w:rPr>
              <w:t>“Jeanne d’Arc”</w:t>
            </w:r>
            <w:r>
              <w:rPr>
                <w:sz w:val="24"/>
                <w:lang w:val="en-US"/>
              </w:rPr>
              <w:t xml:space="preserve"> in </w:t>
            </w:r>
            <w:smartTag w:uri="urn:schemas-microsoft-com:office:smarttags" w:element="City">
              <w:r>
                <w:rPr>
                  <w:sz w:val="24"/>
                  <w:lang w:val="en-US"/>
                </w:rPr>
                <w:t>Odessa</w:t>
              </w:r>
            </w:smartTag>
            <w:r>
              <w:rPr>
                <w:sz w:val="24"/>
                <w:lang w:val="en-US"/>
              </w:rPr>
              <w:t xml:space="preserve">, translation during visit of French representatives in main organizations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lang w:val="en-US"/>
                  </w:rPr>
                  <w:t>Odessa</w:t>
                </w:r>
              </w:smartTag>
            </w:smartTag>
            <w:r>
              <w:rPr>
                <w:sz w:val="24"/>
                <w:lang w:val="en-US"/>
              </w:rPr>
              <w:t>.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D6812" w:rsidRPr="00F0160B" w:rsidRDefault="004D6812">
            <w:pPr>
              <w:ind w:right="-2"/>
              <w:jc w:val="both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D6812" w:rsidRDefault="004D6812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August</w:t>
            </w:r>
            <w:r>
              <w:rPr>
                <w:sz w:val="24"/>
              </w:rPr>
              <w:t xml:space="preserve"> 2002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812" w:rsidRPr="00F0160B" w:rsidRDefault="004D6812">
            <w:pPr>
              <w:numPr>
                <w:ilvl w:val="0"/>
                <w:numId w:val="10"/>
              </w:numPr>
              <w:ind w:right="-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 xml:space="preserve">Practice in Department of international cooperation, section – </w:t>
            </w:r>
            <w:smartTag w:uri="urn:schemas-microsoft-com:office:smarttags" w:element="place">
              <w:r>
                <w:rPr>
                  <w:sz w:val="24"/>
                  <w:lang w:val="en-US"/>
                </w:rPr>
                <w:t>Europe</w:t>
              </w:r>
            </w:smartTag>
            <w:r>
              <w:rPr>
                <w:sz w:val="24"/>
                <w:lang w:val="en-US"/>
              </w:rPr>
              <w:t>, writing translation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D6812" w:rsidRPr="00F0160B" w:rsidRDefault="004D6812">
            <w:pPr>
              <w:ind w:right="-2"/>
              <w:jc w:val="both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D6812" w:rsidRDefault="004D6812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10.09.01.-16.09.01.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812" w:rsidRPr="00F0160B" w:rsidRDefault="004D6812">
            <w:pPr>
              <w:numPr>
                <w:ilvl w:val="0"/>
                <w:numId w:val="8"/>
              </w:numPr>
              <w:tabs>
                <w:tab w:val="num" w:pos="420"/>
              </w:tabs>
              <w:ind w:left="420" w:right="-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Providing translation for French gendarmerie representatives  visiting the Ukrainian staff of the Army, seminar concerning Army transition  on professional base, exchange of experience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D6812" w:rsidRPr="00F0160B" w:rsidRDefault="004D6812">
            <w:pPr>
              <w:ind w:right="-2"/>
              <w:jc w:val="both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D6812" w:rsidRDefault="004D6812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July</w:t>
            </w:r>
            <w:r>
              <w:rPr>
                <w:sz w:val="24"/>
              </w:rPr>
              <w:t xml:space="preserve"> 2001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6812" w:rsidRPr="00F0160B" w:rsidRDefault="004D6812" w:rsidP="00890B46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right="-2" w:hanging="284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Probation in  Sebastobol Navy staff, radio-interception, work with documents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D6812" w:rsidRPr="00F0160B" w:rsidRDefault="004D6812">
            <w:pPr>
              <w:ind w:right="-2"/>
              <w:jc w:val="both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6812" w:rsidRDefault="004D6812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16.06.00-20.06.00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6812" w:rsidRPr="00F0160B" w:rsidRDefault="004D6812" w:rsidP="00890B46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right="-2" w:hanging="284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 xml:space="preserve">Work as translator with Military international </w:t>
            </w:r>
            <w:smartTag w:uri="urn:schemas-microsoft-com:office:smarttags" w:element="City">
              <w:r>
                <w:rPr>
                  <w:sz w:val="24"/>
                  <w:lang w:val="en-US"/>
                </w:rPr>
                <w:t>Paris</w:t>
              </w:r>
            </w:smartTag>
            <w:r>
              <w:rPr>
                <w:sz w:val="24"/>
                <w:lang w:val="en-US"/>
              </w:rPr>
              <w:t xml:space="preserve"> academy’s representatives, providing translation for this visit,  meeting with officers of the National defense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  <w:lang w:val="en-US"/>
                  </w:rPr>
                  <w:t>academy</w:t>
                </w:r>
              </w:smartTag>
              <w:r>
                <w:rPr>
                  <w:sz w:val="24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4"/>
                    <w:lang w:val="en-US"/>
                  </w:rPr>
                  <w:t>Ukraine</w:t>
                </w:r>
              </w:smartTag>
            </w:smartTag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4D6812" w:rsidRDefault="004D6812">
            <w:pPr>
              <w:ind w:right="-2"/>
              <w:jc w:val="both"/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Directions of translation</w:t>
            </w:r>
          </w:p>
        </w:tc>
        <w:tc>
          <w:tcPr>
            <w:tcW w:w="8930" w:type="dxa"/>
            <w:gridSpan w:val="2"/>
          </w:tcPr>
          <w:p w:rsidR="004D6812" w:rsidRPr="00F0160B" w:rsidRDefault="004D6812">
            <w:pPr>
              <w:numPr>
                <w:ilvl w:val="0"/>
                <w:numId w:val="13"/>
              </w:numPr>
              <w:tabs>
                <w:tab w:val="clear" w:pos="720"/>
                <w:tab w:val="num" w:pos="-108"/>
                <w:tab w:val="left" w:pos="317"/>
              </w:tabs>
              <w:ind w:left="-108" w:right="-2" w:firstLine="14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 xml:space="preserve">Common, technical, political, military, finance and investment. Specialization - oral interpreter 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4D6812" w:rsidRDefault="004D6812">
            <w:pPr>
              <w:pStyle w:val="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Diplomas</w:t>
            </w:r>
          </w:p>
        </w:tc>
        <w:tc>
          <w:tcPr>
            <w:tcW w:w="8930" w:type="dxa"/>
            <w:gridSpan w:val="2"/>
          </w:tcPr>
          <w:p w:rsidR="004D6812" w:rsidRPr="00F0160B" w:rsidRDefault="004D6812">
            <w:pPr>
              <w:numPr>
                <w:ilvl w:val="0"/>
                <w:numId w:val="11"/>
              </w:numPr>
              <w:ind w:right="-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Third and second places in region scholar Olympiads in French, silver medal, French embassy’s diploma, gratitude from different delegations</w:t>
            </w:r>
            <w:r w:rsidR="0007553B">
              <w:rPr>
                <w:sz w:val="24"/>
                <w:lang w:val="en-GB"/>
              </w:rPr>
              <w:t xml:space="preserve">, Proz Certified Network member (Fr-Ru language pair), participant of Translation Forums Russia. Feedback from clients: </w:t>
            </w:r>
            <w:hyperlink r:id="rId10" w:history="1">
              <w:r w:rsidR="0007553B" w:rsidRPr="0007553B">
                <w:rPr>
                  <w:rStyle w:val="a5"/>
                  <w:sz w:val="24"/>
                  <w:lang w:val="en-GB"/>
                </w:rPr>
                <w:t>http://www.proz.com/wwa/936341</w:t>
              </w:r>
            </w:hyperlink>
            <w:r w:rsidR="0007553B">
              <w:rPr>
                <w:sz w:val="24"/>
                <w:lang w:val="en-GB"/>
              </w:rPr>
              <w:t xml:space="preserve"> </w:t>
            </w:r>
          </w:p>
        </w:tc>
      </w:tr>
      <w:tr w:rsidR="004D6812" w:rsidRPr="00F016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4D6812" w:rsidRDefault="004D6812">
            <w:pPr>
              <w:ind w:right="-2"/>
              <w:jc w:val="both"/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About myself</w:t>
            </w:r>
          </w:p>
        </w:tc>
        <w:tc>
          <w:tcPr>
            <w:tcW w:w="8930" w:type="dxa"/>
            <w:gridSpan w:val="2"/>
          </w:tcPr>
          <w:p w:rsidR="004D6812" w:rsidRPr="00F0160B" w:rsidRDefault="004D6812">
            <w:pPr>
              <w:numPr>
                <w:ilvl w:val="0"/>
                <w:numId w:val="12"/>
              </w:numPr>
              <w:ind w:right="-2"/>
              <w:jc w:val="both"/>
              <w:rPr>
                <w:sz w:val="24"/>
                <w:lang w:val="en-GB"/>
              </w:rPr>
            </w:pPr>
            <w:r w:rsidRPr="00F0160B">
              <w:rPr>
                <w:sz w:val="24"/>
                <w:lang w:val="en-GB"/>
              </w:rPr>
              <w:t>great desire to master new subjects, responsible, optimist, sociable, purposeful</w:t>
            </w:r>
          </w:p>
          <w:p w:rsidR="004D6812" w:rsidRPr="00F0160B" w:rsidRDefault="004D6812" w:rsidP="00C162BB">
            <w:pPr>
              <w:ind w:right="-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selfish, exigent for myself and others, personnel approach to people</w:t>
            </w:r>
          </w:p>
        </w:tc>
      </w:tr>
      <w:tr w:rsidR="004D6812" w:rsidRPr="007C0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4D6812" w:rsidRDefault="004D6812">
            <w:pPr>
              <w:ind w:right="-2"/>
              <w:jc w:val="both"/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Hobbies</w:t>
            </w:r>
          </w:p>
        </w:tc>
        <w:tc>
          <w:tcPr>
            <w:tcW w:w="8930" w:type="dxa"/>
            <w:gridSpan w:val="2"/>
          </w:tcPr>
          <w:p w:rsidR="004D6812" w:rsidRPr="007C0D8E" w:rsidRDefault="004D6812">
            <w:pPr>
              <w:numPr>
                <w:ilvl w:val="0"/>
                <w:numId w:val="14"/>
              </w:numPr>
              <w:tabs>
                <w:tab w:val="left" w:pos="0"/>
              </w:tabs>
              <w:ind w:right="-2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 xml:space="preserve">Psychology, socionics, scientology, massage, joga and horizontal bar. </w:t>
            </w:r>
          </w:p>
        </w:tc>
      </w:tr>
      <w:tr w:rsidR="004D6812" w:rsidRPr="007C0D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4D6812" w:rsidRDefault="004D6812">
            <w:pPr>
              <w:ind w:right="-2"/>
              <w:jc w:val="both"/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Place of work</w:t>
            </w:r>
          </w:p>
        </w:tc>
        <w:tc>
          <w:tcPr>
            <w:tcW w:w="8930" w:type="dxa"/>
            <w:gridSpan w:val="2"/>
          </w:tcPr>
          <w:p w:rsidR="004D6812" w:rsidRDefault="004D6812">
            <w:pPr>
              <w:numPr>
                <w:ilvl w:val="0"/>
                <w:numId w:val="14"/>
              </w:numPr>
              <w:tabs>
                <w:tab w:val="left" w:pos="0"/>
              </w:tabs>
              <w:ind w:right="-2"/>
              <w:jc w:val="both"/>
              <w:rPr>
                <w:sz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Moscow</w:t>
                </w:r>
              </w:smartTag>
            </w:smartTag>
            <w:r>
              <w:rPr>
                <w:sz w:val="24"/>
                <w:lang w:val="en-US"/>
              </w:rPr>
              <w:t>, possible mission in other cities of CIS</w:t>
            </w:r>
          </w:p>
        </w:tc>
      </w:tr>
    </w:tbl>
    <w:p w:rsidR="005A79C7" w:rsidRPr="00F0160B" w:rsidRDefault="005A79C7">
      <w:pPr>
        <w:rPr>
          <w:sz w:val="24"/>
          <w:lang w:val="en-GB"/>
        </w:rPr>
      </w:pPr>
    </w:p>
    <w:sectPr w:rsidR="005A79C7" w:rsidRPr="00F0160B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C">
    <w:altName w:val="Courier New"/>
    <w:charset w:val="00"/>
    <w:family w:val="auto"/>
    <w:pitch w:val="variable"/>
    <w:sig w:usb0="00000287" w:usb1="00000000" w:usb2="00000000" w:usb3="00000000" w:csb0="0000000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437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163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14A2D"/>
    <w:multiLevelType w:val="hybridMultilevel"/>
    <w:tmpl w:val="B350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02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BA1A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215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497B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E0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CB5D5D"/>
    <w:multiLevelType w:val="hybridMultilevel"/>
    <w:tmpl w:val="21F07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A75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B463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590B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0E37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D99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B"/>
    <w:rsid w:val="0007553B"/>
    <w:rsid w:val="000772BE"/>
    <w:rsid w:val="000B7ACD"/>
    <w:rsid w:val="00121591"/>
    <w:rsid w:val="001733ED"/>
    <w:rsid w:val="00244860"/>
    <w:rsid w:val="002B368F"/>
    <w:rsid w:val="003560F6"/>
    <w:rsid w:val="003C5258"/>
    <w:rsid w:val="003D6006"/>
    <w:rsid w:val="003F164D"/>
    <w:rsid w:val="00443F6C"/>
    <w:rsid w:val="004578B6"/>
    <w:rsid w:val="00480F66"/>
    <w:rsid w:val="004D6238"/>
    <w:rsid w:val="004D6812"/>
    <w:rsid w:val="0052214D"/>
    <w:rsid w:val="00534B17"/>
    <w:rsid w:val="00596926"/>
    <w:rsid w:val="005A79C7"/>
    <w:rsid w:val="005C6ED0"/>
    <w:rsid w:val="006F071F"/>
    <w:rsid w:val="007024F3"/>
    <w:rsid w:val="00724002"/>
    <w:rsid w:val="00725232"/>
    <w:rsid w:val="00750FA6"/>
    <w:rsid w:val="00765A51"/>
    <w:rsid w:val="0078723D"/>
    <w:rsid w:val="007C0D8E"/>
    <w:rsid w:val="007F2AD6"/>
    <w:rsid w:val="0084062A"/>
    <w:rsid w:val="00890B46"/>
    <w:rsid w:val="009205C0"/>
    <w:rsid w:val="00A90C84"/>
    <w:rsid w:val="00B73AAD"/>
    <w:rsid w:val="00C162BB"/>
    <w:rsid w:val="00C30A86"/>
    <w:rsid w:val="00C52D24"/>
    <w:rsid w:val="00C5655B"/>
    <w:rsid w:val="00CC73BA"/>
    <w:rsid w:val="00D33D02"/>
    <w:rsid w:val="00DA468E"/>
    <w:rsid w:val="00DB5244"/>
    <w:rsid w:val="00E217B1"/>
    <w:rsid w:val="00EF790B"/>
    <w:rsid w:val="00F0160B"/>
    <w:rsid w:val="00F37E20"/>
    <w:rsid w:val="00F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6C430-8351-429E-89AB-60DCEEA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2"/>
      <w:jc w:val="both"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pPr>
      <w:keepNext/>
      <w:ind w:right="-2"/>
      <w:jc w:val="both"/>
      <w:outlineLvl w:val="2"/>
    </w:pPr>
    <w:rPr>
      <w:sz w:val="24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2"/>
      <w:jc w:val="both"/>
    </w:pPr>
    <w:rPr>
      <w:sz w:val="28"/>
    </w:rPr>
  </w:style>
  <w:style w:type="paragraph" w:styleId="a4">
    <w:name w:val="Block Text"/>
    <w:basedOn w:val="a"/>
    <w:pPr>
      <w:ind w:left="1134" w:right="-908"/>
      <w:jc w:val="center"/>
    </w:pPr>
    <w:rPr>
      <w:sz w:val="28"/>
    </w:rPr>
  </w:style>
  <w:style w:type="character" w:customStyle="1" w:styleId="body11">
    <w:name w:val="body1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styleId="a5">
    <w:name w:val="Hyperlink"/>
    <w:rsid w:val="00C30A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812"/>
  </w:style>
  <w:style w:type="character" w:styleId="a6">
    <w:name w:val="Mention"/>
    <w:uiPriority w:val="99"/>
    <w:semiHidden/>
    <w:unhideWhenUsed/>
    <w:rsid w:val="008406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/93634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vgen\Dropbox\&#1056;&#1077;&#1079;&#1102;&#1084;&#1077;\www.evgeniyefrem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efremov.translato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oz.com/wwa/93634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z.com/wwa/936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library</Company>
  <LinksUpToDate>false</LinksUpToDate>
  <CharactersWithSpaces>4292</CharactersWithSpaces>
  <SharedDoc>false</SharedDoc>
  <HLinks>
    <vt:vector size="30" baseType="variant">
      <vt:variant>
        <vt:i4>3342459</vt:i4>
      </vt:variant>
      <vt:variant>
        <vt:i4>12</vt:i4>
      </vt:variant>
      <vt:variant>
        <vt:i4>0</vt:i4>
      </vt:variant>
      <vt:variant>
        <vt:i4>5</vt:i4>
      </vt:variant>
      <vt:variant>
        <vt:lpwstr>http://www.proz.com/wwa/936341</vt:lpwstr>
      </vt:variant>
      <vt:variant>
        <vt:lpwstr/>
      </vt:variant>
      <vt:variant>
        <vt:i4>3342459</vt:i4>
      </vt:variant>
      <vt:variant>
        <vt:i4>9</vt:i4>
      </vt:variant>
      <vt:variant>
        <vt:i4>0</vt:i4>
      </vt:variant>
      <vt:variant>
        <vt:i4>5</vt:i4>
      </vt:variant>
      <vt:variant>
        <vt:lpwstr>http://www.proz.com/wwa/936341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http://www.proz.com/translator/936341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www.evgeniyefremov.ru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mailto:e.efremov.translator@gmail.com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subject/>
  <dc:creator>cu</dc:creator>
  <cp:keywords/>
  <cp:lastModifiedBy>Evgen Efremov</cp:lastModifiedBy>
  <cp:revision>2</cp:revision>
  <cp:lastPrinted>2004-05-23T09:17:00Z</cp:lastPrinted>
  <dcterms:created xsi:type="dcterms:W3CDTF">2017-04-17T03:06:00Z</dcterms:created>
  <dcterms:modified xsi:type="dcterms:W3CDTF">2017-04-17T03:06:00Z</dcterms:modified>
</cp:coreProperties>
</file>